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5 -->
  <w:body>
    <w:tbl>
      <w:tblPr>
        <w:tblStyle w:val="TableNormal"/>
        <w:tblpPr w:leftFromText="180" w:rightFromText="180" w:vertAnchor="text" w:horzAnchor="page" w:tblpX="6147" w:tblpY="24"/>
        <w:tblOverlap w:val="never"/>
        <w:tblW w:w="444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783"/>
        <w:gridCol w:w="2660"/>
      </w:tblGrid>
      <w:tr>
        <w:tblPrEx>
          <w:tblW w:w="444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74"/>
        </w:trPr>
        <w:tc>
          <w:tcPr>
            <w:tcW w:w="1783" w:type="dxa"/>
            <w:vAlign w:val="center"/>
          </w:tcPr>
          <w:p>
            <w:pPr>
              <w:jc w:val="center"/>
              <w:rPr>
                <w:rFonts w:eastAsia="黑体"/>
                <w:sz w:val="24"/>
                <w:szCs w:val="24"/>
              </w:rPr>
            </w:pPr>
            <w:bookmarkStart w:id="0" w:name="_GoBack"/>
            <w:bookmarkEnd w:id="0"/>
            <w:r>
              <w:rPr>
                <w:rFonts w:eastAsia="黑体" w:hint="eastAsia"/>
                <w:sz w:val="24"/>
                <w:szCs w:val="24"/>
              </w:rPr>
              <w:t>-委托协议编号</w:t>
            </w:r>
          </w:p>
        </w:tc>
        <w:tc>
          <w:tcPr>
            <w:tcW w:w="2660" w:type="dxa"/>
            <w:vAlign w:val="center"/>
          </w:tcPr>
          <w:p>
            <w:pPr>
              <w:jc w:val="center"/>
              <w:rPr>
                <w:rFonts w:eastAsia="黑体"/>
                <w:sz w:val="24"/>
                <w:szCs w:val="24"/>
              </w:rPr>
            </w:pPr>
            <w:r>
              <w:rPr>
                <w:rFonts w:hint="eastAsia"/>
                <w:sz w:val="24"/>
                <w:szCs w:val="24"/>
              </w:rPr>
              <w:t>{{协议编号</w:t>
            </w:r>
            <w:r>
              <w:rPr>
                <w:rFonts w:hint="eastAsia"/>
              </w:rPr>
              <w:t>}}</w:t>
            </w:r>
          </w:p>
        </w:tc>
      </w:tr>
    </w:tbl>
    <w:p/>
    <w:p/>
    <w:p/>
    <w:p>
      <w:pPr>
        <w:pStyle w:val="ListParagraph"/>
        <w:numPr>
          <w:ilvl w:val="0"/>
          <w:numId w:val="1"/>
        </w:numPr>
        <w:spacing w:line="360" w:lineRule="auto"/>
        <w:ind w:firstLineChars="0"/>
        <w:rPr>
          <w:rFonts w:ascii="宋体" w:hAnsi="宋体"/>
          <w:b/>
          <w:sz w:val="24"/>
          <w:szCs w:val="24"/>
        </w:rPr>
      </w:pPr>
      <w:r>
        <w:rPr>
          <w:rFonts w:ascii="宋体" w:hAnsi="宋体" w:hint="eastAsia"/>
          <w:b/>
          <w:sz w:val="24"/>
          <w:szCs w:val="24"/>
        </w:rPr>
        <w:t xml:space="preserve"> 委托工作的主要内容、考核指标及验收方式</w:t>
      </w:r>
    </w:p>
    <w:p>
      <w:pPr>
        <w:spacing w:line="360" w:lineRule="auto"/>
        <w:rPr>
          <w:rFonts w:ascii="宋体" w:hAnsi="宋体"/>
          <w:b/>
          <w:sz w:val="24"/>
          <w:szCs w:val="24"/>
        </w:rPr>
      </w:pPr>
      <w:r>
        <w:rPr>
          <w:rFonts w:ascii="宋体" w:hAnsi="宋体" w:hint="eastAsia"/>
          <w:b/>
          <w:sz w:val="24"/>
          <w:szCs w:val="24"/>
        </w:rPr>
        <w:t>（备注：受委托方需提供测试化验加工的原始数据，委托方务必保留原始数据10年以上以备审计抽查）</w:t>
      </w:r>
    </w:p>
    <w:p>
      <w:pPr>
        <w:spacing w:line="360" w:lineRule="auto"/>
        <w:rPr>
          <w:rFonts w:ascii="宋体" w:hAnsi="宋体"/>
          <w:b/>
          <w:sz w:val="24"/>
          <w:szCs w:val="24"/>
        </w:rPr>
      </w:pPr>
    </w:p>
    <w:p>
      <w:pPr>
        <w:spacing w:after="240" w:line="360" w:lineRule="auto"/>
        <w:ind w:hanging="425"/>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1.  </w:t>
      </w:r>
      <w:r>
        <w:rPr>
          <w:rFonts w:ascii="Arial Unicode MS" w:eastAsia="Arial Unicode MS" w:hAnsi="Arial Unicode MS" w:cs="Arial Unicode MS"/>
          <w:b/>
          <w:bCs/>
          <w:kern w:val="0"/>
          <w:sz w:val="24"/>
          <w:szCs w:val="24"/>
        </w:rPr>
        <w:t>主要内容</w:t>
      </w:r>
    </w:p>
    <w:p>
      <w:pPr>
        <w:spacing w:before="240" w:after="240" w:line="360" w:lineRule="auto"/>
        <w:ind w:firstLine="0"/>
        <w:rPr>
          <w:rFonts w:ascii="Times New Roman" w:eastAsia="Times New Roman" w:hAnsi="Times New Roman" w:cs="Times New Roman"/>
          <w:kern w:val="0"/>
          <w:sz w:val="24"/>
          <w:szCs w:val="24"/>
        </w:rPr>
      </w:pPr>
      <w:r>
        <w:rPr>
          <w:rFonts w:ascii="宋体" w:hAnsi="宋体" w:cs="宋体"/>
          <w:kern w:val="0"/>
          <w:sz w:val="24"/>
          <w:szCs w:val="24"/>
        </w:rPr>
        <w:t>Runx2、Smurfl基因小鼠繁育服务，项目信息如下:</w:t>
      </w:r>
    </w:p>
    <w:tbl>
      <w:tblPr>
        <w:tblW w:w="5000" w:type="pct"/>
        <w:tblCellSpacing w:w="15" w:type="dxa"/>
        <w:tblInd w:w="15" w:type="dxa"/>
        <w:tblCellMar>
          <w:top w:w="15" w:type="dxa"/>
          <w:left w:w="15" w:type="dxa"/>
          <w:bottom w:w="15" w:type="dxa"/>
          <w:right w:w="15" w:type="dxa"/>
        </w:tblCellMar>
      </w:tblPr>
      <w:tblGrid>
        <w:gridCol w:w="2251"/>
        <w:gridCol w:w="4676"/>
        <w:gridCol w:w="2069"/>
      </w:tblGrid>
      <w:tr>
        <w:tblPrEx>
          <w:tblW w:w="5000" w:type="pct"/>
          <w:tblCellSpacing w:w="15" w:type="dxa"/>
          <w:tblInd w:w="15" w:type="dxa"/>
          <w:tblCellMar>
            <w:top w:w="15" w:type="dxa"/>
            <w:left w:w="15" w:type="dxa"/>
            <w:bottom w:w="15" w:type="dxa"/>
            <w:right w:w="15" w:type="dxa"/>
          </w:tblCellMar>
        </w:tblPrEx>
        <w:trPr>
          <w:tblCellSpacing w:w="15" w:type="dxa"/>
        </w:trPr>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Arial Unicode MS" w:eastAsia="Arial Unicode MS" w:hAnsi="Arial Unicode MS" w:cs="Arial Unicode MS"/>
                <w:b w:val="0"/>
                <w:bCs w:val="0"/>
                <w:i w:val="0"/>
                <w:iCs w:val="0"/>
                <w:smallCaps w:val="0"/>
                <w:color w:val="000000"/>
                <w:kern w:val="0"/>
                <w:sz w:val="24"/>
                <w:szCs w:val="24"/>
              </w:rPr>
              <w:t>基因名称</w:t>
            </w: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Arial Unicode MS" w:eastAsia="Arial Unicode MS" w:hAnsi="Arial Unicode MS" w:cs="Arial Unicode MS"/>
                <w:b w:val="0"/>
                <w:bCs w:val="0"/>
                <w:i w:val="0"/>
                <w:iCs w:val="0"/>
                <w:smallCaps w:val="0"/>
                <w:color w:val="000000"/>
                <w:kern w:val="0"/>
                <w:sz w:val="24"/>
                <w:szCs w:val="24"/>
              </w:rPr>
              <w:t>项目周期</w:t>
            </w: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Arial Unicode MS" w:eastAsia="Arial Unicode MS" w:hAnsi="Arial Unicode MS" w:cs="Arial Unicode MS"/>
                <w:b w:val="0"/>
                <w:bCs w:val="0"/>
                <w:i w:val="0"/>
                <w:iCs w:val="0"/>
                <w:smallCaps w:val="0"/>
                <w:color w:val="000000"/>
                <w:kern w:val="0"/>
                <w:sz w:val="24"/>
                <w:szCs w:val="24"/>
              </w:rPr>
              <w:t>小计</w:t>
            </w:r>
            <w:r>
              <w:rPr>
                <w:rFonts w:ascii="Times New Roman" w:eastAsia="Times New Roman" w:hAnsi="Times New Roman" w:cs="Times New Roman"/>
                <w:b w:val="0"/>
                <w:bCs w:val="0"/>
                <w:i w:val="0"/>
                <w:iCs w:val="0"/>
                <w:smallCaps w:val="0"/>
                <w:color w:val="000000"/>
                <w:kern w:val="0"/>
                <w:sz w:val="24"/>
                <w:szCs w:val="24"/>
              </w:rPr>
              <w:t>(</w:t>
            </w:r>
            <w:r>
              <w:rPr>
                <w:rFonts w:ascii="Arial Unicode MS" w:eastAsia="Arial Unicode MS" w:hAnsi="Arial Unicode MS" w:cs="Arial Unicode MS"/>
                <w:b w:val="0"/>
                <w:bCs w:val="0"/>
                <w:i w:val="0"/>
                <w:iCs w:val="0"/>
                <w:smallCaps w:val="0"/>
                <w:color w:val="000000"/>
                <w:kern w:val="0"/>
                <w:sz w:val="24"/>
                <w:szCs w:val="24"/>
              </w:rPr>
              <w:t>元</w:t>
            </w:r>
            <w:r>
              <w:rPr>
                <w:rFonts w:ascii="Times New Roman" w:eastAsia="Times New Roman" w:hAnsi="Times New Roman" w:cs="Times New Roman"/>
                <w:b w:val="0"/>
                <w:bCs w:val="0"/>
                <w:i w:val="0"/>
                <w:iCs w:val="0"/>
                <w:smallCaps w:val="0"/>
                <w:color w:val="000000"/>
                <w:kern w:val="0"/>
                <w:sz w:val="24"/>
                <w:szCs w:val="24"/>
              </w:rPr>
              <w:t>)</w:t>
            </w:r>
          </w:p>
        </w:tc>
      </w:tr>
      <w:tr>
        <w:tblPrEx>
          <w:tblW w:w="5000" w:type="pct"/>
          <w:tblCellSpacing w:w="15" w:type="dxa"/>
          <w:tblInd w:w="15" w:type="dxa"/>
          <w:tblCellMar>
            <w:top w:w="15" w:type="dxa"/>
            <w:left w:w="15" w:type="dxa"/>
            <w:bottom w:w="15" w:type="dxa"/>
            <w:right w:w="15" w:type="dxa"/>
          </w:tblCellMar>
        </w:tblPrEx>
        <w:trPr>
          <w:tblCellSpacing w:w="15" w:type="dxa"/>
        </w:trPr>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Times New Roman" w:eastAsia="Times New Roman" w:hAnsi="Times New Roman" w:cs="Times New Roman"/>
                <w:b w:val="0"/>
                <w:bCs w:val="0"/>
                <w:i w:val="0"/>
                <w:iCs w:val="0"/>
                <w:smallCaps w:val="0"/>
                <w:color w:val="000000"/>
                <w:kern w:val="0"/>
                <w:sz w:val="24"/>
                <w:szCs w:val="24"/>
              </w:rPr>
              <w:t>Runx2</w:t>
            </w: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Times New Roman" w:eastAsia="Times New Roman" w:hAnsi="Times New Roman" w:cs="Times New Roman"/>
                <w:b w:val="0"/>
                <w:bCs w:val="0"/>
                <w:i w:val="0"/>
                <w:iCs w:val="0"/>
                <w:smallCaps w:val="0"/>
                <w:color w:val="000000"/>
                <w:kern w:val="0"/>
                <w:sz w:val="24"/>
                <w:szCs w:val="24"/>
              </w:rPr>
              <w:t>2023/7/28-2023/8/18</w:t>
            </w: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Times New Roman" w:eastAsia="Times New Roman" w:hAnsi="Times New Roman" w:cs="Times New Roman"/>
                <w:b w:val="0"/>
                <w:bCs w:val="0"/>
                <w:i w:val="0"/>
                <w:iCs w:val="0"/>
                <w:smallCaps w:val="0"/>
                <w:color w:val="000000"/>
                <w:kern w:val="0"/>
                <w:sz w:val="24"/>
                <w:szCs w:val="24"/>
              </w:rPr>
              <w:t>¥656.00</w:t>
            </w:r>
          </w:p>
        </w:tc>
      </w:tr>
      <w:tr>
        <w:tblPrEx>
          <w:tblW w:w="5000" w:type="pct"/>
          <w:tblCellSpacing w:w="15" w:type="dxa"/>
          <w:tblInd w:w="15" w:type="dxa"/>
          <w:tblCellMar>
            <w:top w:w="15" w:type="dxa"/>
            <w:left w:w="15" w:type="dxa"/>
            <w:bottom w:w="15" w:type="dxa"/>
            <w:right w:w="15" w:type="dxa"/>
          </w:tblCellMar>
        </w:tblPrEx>
        <w:trPr>
          <w:tblCellSpacing w:w="15" w:type="dxa"/>
        </w:trPr>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Times New Roman" w:eastAsia="Times New Roman" w:hAnsi="Times New Roman" w:cs="Times New Roman"/>
                <w:b w:val="0"/>
                <w:bCs w:val="0"/>
                <w:i w:val="0"/>
                <w:iCs w:val="0"/>
                <w:smallCaps w:val="0"/>
                <w:color w:val="000000"/>
                <w:kern w:val="0"/>
                <w:sz w:val="24"/>
                <w:szCs w:val="24"/>
              </w:rPr>
              <w:t>Smurfl</w:t>
            </w: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Times New Roman" w:eastAsia="Times New Roman" w:hAnsi="Times New Roman" w:cs="Times New Roman"/>
                <w:b w:val="0"/>
                <w:bCs w:val="0"/>
                <w:i w:val="0"/>
                <w:iCs w:val="0"/>
                <w:smallCaps w:val="0"/>
                <w:color w:val="000000"/>
                <w:kern w:val="0"/>
                <w:sz w:val="24"/>
                <w:szCs w:val="24"/>
              </w:rPr>
              <w:t>2023/7/28-2023/8/18</w:t>
            </w: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Times New Roman" w:eastAsia="Times New Roman" w:hAnsi="Times New Roman" w:cs="Times New Roman"/>
                <w:b w:val="0"/>
                <w:bCs w:val="0"/>
                <w:i w:val="0"/>
                <w:iCs w:val="0"/>
                <w:smallCaps w:val="0"/>
                <w:color w:val="000000"/>
                <w:kern w:val="0"/>
                <w:sz w:val="24"/>
                <w:szCs w:val="24"/>
              </w:rPr>
              <w:t>¥792.00</w:t>
            </w:r>
          </w:p>
        </w:tc>
      </w:tr>
    </w:tbl>
    <w:p>
      <w:pPr>
        <w:spacing w:before="240" w:after="240" w:line="360" w:lineRule="auto"/>
        <w:ind w:hanging="425"/>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2.  </w:t>
      </w:r>
      <w:r>
        <w:rPr>
          <w:rFonts w:ascii="Arial Unicode MS" w:eastAsia="Arial Unicode MS" w:hAnsi="Arial Unicode MS" w:cs="Arial Unicode MS"/>
          <w:b/>
          <w:bCs/>
          <w:kern w:val="0"/>
          <w:sz w:val="24"/>
          <w:szCs w:val="24"/>
        </w:rPr>
        <w:t>考核指标</w:t>
      </w:r>
    </w:p>
    <w:p>
      <w:pPr>
        <w:spacing w:before="240" w:after="240" w:line="360" w:lineRule="auto"/>
        <w:ind w:firstLine="0"/>
        <w:rPr>
          <w:rFonts w:ascii="Times New Roman" w:eastAsia="Times New Roman" w:hAnsi="Times New Roman" w:cs="Times New Roman"/>
          <w:kern w:val="0"/>
          <w:sz w:val="24"/>
          <w:szCs w:val="24"/>
        </w:rPr>
      </w:pPr>
      <w:r>
        <w:rPr>
          <w:rFonts w:ascii="宋体" w:hAnsi="宋体" w:cs="宋体"/>
          <w:kern w:val="0"/>
          <w:sz w:val="24"/>
          <w:szCs w:val="24"/>
        </w:rPr>
        <w:t>2.1 Runx2点突变杂合小鼠1♂3♀。</w:t>
      </w:r>
    </w:p>
    <w:p>
      <w:pPr>
        <w:spacing w:before="240" w:after="240" w:line="360" w:lineRule="auto"/>
        <w:ind w:firstLine="0"/>
        <w:rPr>
          <w:rFonts w:ascii="Times New Roman" w:eastAsia="Times New Roman" w:hAnsi="Times New Roman" w:cs="Times New Roman"/>
          <w:kern w:val="0"/>
          <w:sz w:val="24"/>
          <w:szCs w:val="24"/>
        </w:rPr>
      </w:pPr>
      <w:r>
        <w:rPr>
          <w:rFonts w:ascii="宋体" w:hAnsi="宋体" w:cs="宋体"/>
          <w:kern w:val="0"/>
          <w:sz w:val="24"/>
          <w:szCs w:val="24"/>
        </w:rPr>
        <w:t>2.2 Smurf1 阳性鼠(杂合)8♂6♀。</w:t>
      </w:r>
    </w:p>
    <w:p>
      <w:pPr>
        <w:spacing w:before="240" w:after="240" w:line="360" w:lineRule="auto"/>
        <w:ind w:hanging="425"/>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3.  </w:t>
      </w:r>
      <w:r>
        <w:rPr>
          <w:rFonts w:ascii="Arial Unicode MS" w:eastAsia="Arial Unicode MS" w:hAnsi="Arial Unicode MS" w:cs="Arial Unicode MS"/>
          <w:b/>
          <w:bCs/>
          <w:kern w:val="0"/>
          <w:sz w:val="24"/>
          <w:szCs w:val="24"/>
        </w:rPr>
        <w:t>验收方式</w:t>
      </w:r>
    </w:p>
    <w:p>
      <w:pPr>
        <w:spacing w:before="240" w:after="240" w:line="360" w:lineRule="auto"/>
        <w:ind w:firstLine="0"/>
        <w:rPr>
          <w:rFonts w:ascii="Times New Roman" w:eastAsia="Times New Roman" w:hAnsi="Times New Roman" w:cs="Times New Roman"/>
          <w:kern w:val="0"/>
          <w:sz w:val="24"/>
          <w:szCs w:val="24"/>
        </w:rPr>
      </w:pPr>
      <w:r>
        <w:rPr>
          <w:rFonts w:ascii="宋体" w:hAnsi="宋体" w:cs="宋体"/>
          <w:kern w:val="0"/>
          <w:sz w:val="24"/>
          <w:szCs w:val="24"/>
        </w:rPr>
        <w:t>活体小鼠</w:t>
      </w:r>
    </w:p>
    <w:p>
      <w:pPr>
        <w:spacing w:line="360" w:lineRule="auto"/>
        <w:rPr>
          <w:rFonts w:ascii="宋体" w:hAnsi="宋体" w:cs="宋体"/>
          <w:bCs/>
          <w:sz w:val="24"/>
          <w:szCs w:val="24"/>
        </w:rPr>
        <w:sectPr>
          <w:headerReference w:type="even" r:id="rId5"/>
          <w:headerReference w:type="default" r:id="rId6"/>
          <w:footerReference w:type="even" r:id="rId7"/>
          <w:footerReference w:type="default" r:id="rId8"/>
          <w:headerReference w:type="first" r:id="rId9"/>
          <w:footerReference w:type="first" r:id="rId10"/>
          <w:pgSz w:w="11906" w:h="16838"/>
          <w:pgMar w:top="1134" w:right="1418" w:bottom="1135" w:left="1418" w:header="851" w:footer="992" w:gutter="0"/>
          <w:cols w:num="1" w:space="425"/>
          <w:docGrid w:type="lines" w:linePitch="312" w:charSpace="0"/>
        </w:sectPr>
      </w:pPr>
      <w:r>
        <w:rPr>
          <w:rFonts w:ascii="宋体" w:hAnsi="宋体" w:cs="宋体" w:hint="eastAsia"/>
          <w:bCs/>
          <w:sz w:val="24"/>
          <w:szCs w:val="24"/>
        </w:rPr>
        <w:t>{{</w:t>
      </w:r>
      <w:r>
        <w:rPr>
          <w:rFonts w:ascii="宋体" w:hAnsi="宋体" w:cs="宋体" w:hint="eastAsia"/>
          <w:bCs/>
          <w:sz w:val="30"/>
          <w:szCs w:val="30"/>
        </w:rPr>
        <w:t>协议信息</w:t>
      </w:r>
      <w:r>
        <w:rPr>
          <w:rFonts w:ascii="宋体" w:hAnsi="宋体" w:cs="宋体" w:hint="eastAsia"/>
          <w:bCs/>
          <w:sz w:val="24"/>
          <w:szCs w:val="24"/>
        </w:rPr>
        <w:t>}}</w:t>
      </w:r>
    </w:p>
    <w:p>
      <w:pPr>
        <w:spacing w:line="360" w:lineRule="auto"/>
        <w:rPr>
          <w:rFonts w:ascii="宋体" w:hAnsi="宋体"/>
          <w:b/>
          <w:sz w:val="24"/>
          <w:szCs w:val="24"/>
        </w:rPr>
      </w:pPr>
    </w:p>
    <w:p>
      <w:pPr>
        <w:spacing w:line="360" w:lineRule="auto"/>
        <w:rPr>
          <w:rFonts w:ascii="宋体" w:hAnsi="宋体"/>
          <w:b/>
          <w:dstrike/>
          <w:color w:val="FF0000"/>
          <w:sz w:val="24"/>
          <w:szCs w:val="24"/>
        </w:rPr>
      </w:pPr>
      <w:r>
        <w:rPr>
          <w:rFonts w:ascii="宋体" w:hAnsi="宋体" w:hint="eastAsia"/>
          <w:b/>
          <w:sz w:val="24"/>
          <w:szCs w:val="24"/>
        </w:rPr>
        <w:t>第三条   测试化验加工细目：</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38"/>
        <w:gridCol w:w="2951"/>
        <w:gridCol w:w="2389"/>
        <w:gridCol w:w="2310"/>
        <w:gridCol w:w="2029"/>
        <w:gridCol w:w="1175"/>
        <w:gridCol w:w="2267"/>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88"/>
        </w:trPr>
        <w:tc>
          <w:tcPr>
            <w:tcW w:w="363" w:type="pct"/>
            <w:tcBorders>
              <w:top w:val="single" w:sz="4" w:space="0" w:color="auto"/>
            </w:tcBorders>
            <w:vAlign w:val="center"/>
          </w:tcPr>
          <w:p>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序号</w:t>
            </w:r>
          </w:p>
        </w:tc>
        <w:tc>
          <w:tcPr>
            <w:tcW w:w="1035" w:type="pct"/>
            <w:tcBorders>
              <w:top w:val="single" w:sz="4" w:space="0" w:color="auto"/>
            </w:tcBorders>
            <w:shd w:val="clear" w:color="auto" w:fill="auto"/>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测试化验加工的内容</w:t>
            </w:r>
          </w:p>
        </w:tc>
        <w:tc>
          <w:tcPr>
            <w:tcW w:w="842" w:type="pct"/>
            <w:tcBorders>
              <w:top w:val="single" w:sz="4" w:space="0" w:color="auto"/>
            </w:tcBorders>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测试结果的呈现方式</w:t>
            </w:r>
          </w:p>
        </w:tc>
        <w:tc>
          <w:tcPr>
            <w:tcW w:w="815" w:type="pct"/>
            <w:tcBorders>
              <w:top w:val="single" w:sz="4" w:space="0" w:color="auto"/>
            </w:tcBorders>
            <w:shd w:val="clear" w:color="auto" w:fill="auto"/>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计量单位</w:t>
            </w:r>
          </w:p>
        </w:tc>
        <w:tc>
          <w:tcPr>
            <w:tcW w:w="718" w:type="pct"/>
            <w:tcBorders>
              <w:top w:val="single" w:sz="4" w:space="0" w:color="auto"/>
            </w:tcBorders>
            <w:shd w:val="clear" w:color="auto" w:fill="auto"/>
            <w:vAlign w:val="center"/>
          </w:tcPr>
          <w:p>
            <w:pPr>
              <w:spacing w:line="360" w:lineRule="auto"/>
              <w:jc w:val="center"/>
              <w:rPr>
                <w:rFonts w:ascii="宋体" w:hAnsi="宋体" w:cs="Arial"/>
                <w:sz w:val="24"/>
                <w:szCs w:val="24"/>
              </w:rPr>
            </w:pPr>
            <w:r>
              <w:rPr>
                <w:rFonts w:ascii="宋体" w:hAnsi="宋体" w:cs="Arial" w:hint="eastAsia"/>
                <w:b/>
                <w:bCs/>
                <w:sz w:val="24"/>
                <w:szCs w:val="24"/>
              </w:rPr>
              <w:t>单价</w:t>
            </w:r>
          </w:p>
          <w:p>
            <w:pPr>
              <w:spacing w:line="360" w:lineRule="auto"/>
              <w:jc w:val="center"/>
              <w:rPr>
                <w:rFonts w:ascii="宋体" w:hAnsi="宋体"/>
                <w:spacing w:val="20"/>
                <w:sz w:val="24"/>
                <w:szCs w:val="24"/>
              </w:rPr>
            </w:pPr>
            <w:r>
              <w:rPr>
                <w:rFonts w:ascii="宋体" w:hAnsi="宋体" w:cs="Arial" w:hint="eastAsia"/>
                <w:b/>
                <w:bCs/>
                <w:sz w:val="24"/>
                <w:szCs w:val="24"/>
              </w:rPr>
              <w:t>（元/单位）</w:t>
            </w:r>
          </w:p>
        </w:tc>
        <w:tc>
          <w:tcPr>
            <w:tcW w:w="424" w:type="pct"/>
            <w:tcBorders>
              <w:top w:val="single" w:sz="4" w:space="0" w:color="auto"/>
            </w:tcBorders>
            <w:shd w:val="clear" w:color="auto" w:fill="auto"/>
            <w:vAlign w:val="center"/>
          </w:tcPr>
          <w:p>
            <w:pPr>
              <w:spacing w:line="360" w:lineRule="auto"/>
              <w:jc w:val="center"/>
              <w:rPr>
                <w:rFonts w:ascii="宋体" w:hAnsi="宋体"/>
                <w:spacing w:val="20"/>
                <w:sz w:val="24"/>
                <w:szCs w:val="24"/>
              </w:rPr>
            </w:pPr>
            <w:r>
              <w:rPr>
                <w:rFonts w:ascii="宋体" w:hAnsi="宋体" w:cs="Arial" w:hint="eastAsia"/>
                <w:b/>
                <w:bCs/>
                <w:sz w:val="24"/>
                <w:szCs w:val="24"/>
              </w:rPr>
              <w:t>数量</w:t>
            </w:r>
          </w:p>
        </w:tc>
        <w:tc>
          <w:tcPr>
            <w:tcW w:w="800" w:type="pct"/>
            <w:tcBorders>
              <w:top w:val="single" w:sz="4" w:space="0" w:color="auto"/>
            </w:tcBorders>
            <w:shd w:val="clear" w:color="auto" w:fill="auto"/>
            <w:vAlign w:val="center"/>
          </w:tcPr>
          <w:p>
            <w:pPr>
              <w:spacing w:line="360" w:lineRule="auto"/>
              <w:jc w:val="center"/>
              <w:rPr>
                <w:rFonts w:ascii="宋体" w:hAnsi="宋体"/>
                <w:spacing w:val="20"/>
                <w:sz w:val="24"/>
                <w:szCs w:val="24"/>
              </w:rPr>
            </w:pPr>
            <w:r>
              <w:rPr>
                <w:rFonts w:ascii="宋体" w:hAnsi="宋体" w:cs="Arial" w:hint="eastAsia"/>
                <w:b/>
                <w:bCs/>
                <w:sz w:val="24"/>
                <w:szCs w:val="24"/>
              </w:rPr>
              <w:t>金额（元）</w:t>
            </w:r>
          </w:p>
        </w:tc>
      </w:tr>
      <w:tr>
        <w:tblPrEx>
          <w:tblW w:w="5000" w:type="pct"/>
          <w:tblInd w:w="0" w:type="dxa"/>
          <w:tblCellMar>
            <w:top w:w="0" w:type="dxa"/>
            <w:left w:w="108" w:type="dxa"/>
            <w:bottom w:w="0" w:type="dxa"/>
            <w:right w:w="108" w:type="dxa"/>
          </w:tblCellMar>
        </w:tblPrEx>
        <w:trPr>
          <w:trHeight w:val="557"/>
        </w:trPr>
        <w:tc>
          <w:tcPr>
            <w:tcW w:w="363" w:type="pct"/>
            <w:vAlign w:val="center"/>
          </w:tcPr>
          <w:p>
            <w:pPr>
              <w:spacing w:line="360" w:lineRule="auto"/>
              <w:jc w:val="center"/>
              <w:rPr>
                <w:rFonts w:ascii="宋体" w:hAnsi="宋体" w:cs="Arial"/>
                <w:b/>
                <w:bCs/>
                <w:color w:val="000000"/>
                <w:sz w:val="24"/>
                <w:szCs w:val="24"/>
              </w:rPr>
            </w:pPr>
            <w:r>
              <w:rPr>
                <w:sz w:val="24"/>
                <w:szCs w:val="24"/>
              </w:rPr>
              <w:fldChar w:fldCharType="begin"/>
            </w:r>
            <w:r>
              <w:rPr>
                <w:sz w:val="24"/>
                <w:szCs w:val="24"/>
              </w:rPr>
              <w:instrText xml:space="preserve"> MERGEFIELD  TableStart:子表1  \* MERGEFORMAT </w:instrText>
            </w:r>
            <w:r>
              <w:rPr>
                <w:sz w:val="24"/>
                <w:szCs w:val="24"/>
              </w:rPr>
              <w:fldChar w:fldCharType="separate"/>
            </w:r>
            <w:r>
              <w:rPr>
                <w:sz w:val="24"/>
                <w:szCs w:val="24"/>
              </w:rPr>
              <w:fldChar w:fldCharType="end"/>
            </w:r>
            <w:r>
              <w:rPr>
                <w:sz w:val="24"/>
                <w:szCs w:val="24"/>
              </w:rPr>
              <w:fldChar w:fldCharType="begin"/>
            </w:r>
            <w:r>
              <w:rPr>
                <w:sz w:val="24"/>
                <w:szCs w:val="24"/>
              </w:rPr>
              <w:instrText xml:space="preserve"> MERGEFIELD  供货商名称  \* MERGEFORMAT </w:instrText>
            </w:r>
            <w:r>
              <w:rPr>
                <w:sz w:val="24"/>
                <w:szCs w:val="24"/>
              </w:rPr>
              <w:fldChar w:fldCharType="separate"/>
            </w:r>
            <w:r>
              <w:rPr>
                <w:sz w:val="24"/>
                <w:szCs w:val="24"/>
              </w:rPr>
              <w:t>{{</w:t>
            </w:r>
            <w:r>
              <w:rPr>
                <w:rFonts w:hint="eastAsia"/>
                <w:sz w:val="24"/>
                <w:szCs w:val="24"/>
              </w:rPr>
              <w:t>$</w:t>
            </w:r>
            <w:r>
              <w:rPr>
                <w:sz w:val="24"/>
                <w:szCs w:val="24"/>
              </w:rPr>
              <w:t>fe:import t.</w:t>
            </w:r>
            <w:r>
              <w:rPr>
                <w:rFonts w:hint="eastAsia"/>
                <w:sz w:val="24"/>
                <w:szCs w:val="24"/>
              </w:rPr>
              <w:t>序号</w:t>
            </w:r>
            <w:r>
              <w:rPr>
                <w:sz w:val="24"/>
                <w:szCs w:val="24"/>
              </w:rPr>
              <w:fldChar w:fldCharType="end"/>
            </w:r>
            <w:r>
              <w:rPr>
                <w:sz w:val="24"/>
                <w:szCs w:val="24"/>
              </w:rPr>
              <w:t>.</w:t>
            </w:r>
          </w:p>
        </w:tc>
        <w:tc>
          <w:tcPr>
            <w:tcW w:w="103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品名</w:t>
            </w:r>
            <w:r>
              <w:rPr>
                <w:sz w:val="24"/>
                <w:szCs w:val="24"/>
              </w:rPr>
              <w:fldChar w:fldCharType="end"/>
            </w:r>
          </w:p>
        </w:tc>
        <w:tc>
          <w:tcPr>
            <w:tcW w:w="842" w:type="pct"/>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呈现方式</w:t>
            </w:r>
            <w:r>
              <w:rPr>
                <w:sz w:val="24"/>
                <w:szCs w:val="24"/>
              </w:rPr>
              <w:fldChar w:fldCharType="end"/>
            </w:r>
          </w:p>
        </w:tc>
        <w:tc>
          <w:tcPr>
            <w:tcW w:w="81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销售单位</w:t>
            </w:r>
            <w:r>
              <w:rPr>
                <w:sz w:val="24"/>
                <w:szCs w:val="24"/>
              </w:rPr>
              <w:fldChar w:fldCharType="end"/>
            </w:r>
          </w:p>
        </w:tc>
        <w:tc>
          <w:tcPr>
            <w:tcW w:w="718"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单价</w:t>
            </w:r>
            <w:r>
              <w:rPr>
                <w:sz w:val="24"/>
                <w:szCs w:val="24"/>
              </w:rPr>
              <w:fldChar w:fldCharType="end"/>
            </w:r>
          </w:p>
        </w:tc>
        <w:tc>
          <w:tcPr>
            <w:tcW w:w="424"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入库日期  \* MERGEFORMAT </w:instrText>
            </w:r>
            <w:r>
              <w:rPr>
                <w:sz w:val="24"/>
                <w:szCs w:val="24"/>
              </w:rPr>
              <w:fldChar w:fldCharType="separate"/>
            </w:r>
            <w:r>
              <w:rPr>
                <w:sz w:val="24"/>
                <w:szCs w:val="24"/>
              </w:rPr>
              <w:t>t.</w:t>
            </w:r>
            <w:r>
              <w:rPr>
                <w:rFonts w:hint="eastAsia"/>
                <w:sz w:val="24"/>
                <w:szCs w:val="24"/>
              </w:rPr>
              <w:t>数量</w:t>
            </w:r>
            <w:r>
              <w:rPr>
                <w:sz w:val="24"/>
                <w:szCs w:val="24"/>
              </w:rPr>
              <w:fldChar w:fldCharType="end"/>
            </w:r>
          </w:p>
        </w:tc>
        <w:tc>
          <w:tcPr>
            <w:tcW w:w="800"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总价  \* MERGEFORMAT </w:instrText>
            </w:r>
            <w:r>
              <w:rPr>
                <w:sz w:val="24"/>
                <w:szCs w:val="24"/>
              </w:rPr>
              <w:fldChar w:fldCharType="separate"/>
            </w:r>
            <w:r>
              <w:rPr>
                <w:sz w:val="24"/>
                <w:szCs w:val="24"/>
              </w:rPr>
              <w:t>t.</w:t>
            </w:r>
            <w:r>
              <w:rPr>
                <w:rFonts w:hint="eastAsia"/>
                <w:sz w:val="24"/>
                <w:szCs w:val="24"/>
              </w:rPr>
              <w:t>总价</w:t>
            </w:r>
            <w:r>
              <w:rPr>
                <w:sz w:val="24"/>
                <w:szCs w:val="24"/>
              </w:rPr>
              <w:fldChar w:fldCharType="end"/>
            </w:r>
            <w:r>
              <w:rPr>
                <w:rFonts w:hint="eastAsia"/>
                <w:sz w:val="24"/>
                <w:szCs w:val="24"/>
              </w:rPr>
              <w:t>}}</w:t>
            </w:r>
          </w:p>
        </w:tc>
      </w:tr>
      <w:tr>
        <w:tblPrEx>
          <w:tblW w:w="5000" w:type="pct"/>
          <w:tblInd w:w="0" w:type="dxa"/>
          <w:tblCellMar>
            <w:top w:w="0" w:type="dxa"/>
            <w:left w:w="108" w:type="dxa"/>
            <w:bottom w:w="0" w:type="dxa"/>
            <w:right w:w="108" w:type="dxa"/>
          </w:tblCellMar>
        </w:tblPrEx>
        <w:trPr>
          <w:trHeight w:val="488"/>
        </w:trPr>
        <w:tc>
          <w:tcPr>
            <w:tcW w:w="363" w:type="pct"/>
            <w:tcBorders>
              <w:bottom w:val="single" w:sz="4" w:space="0" w:color="auto"/>
            </w:tcBorders>
          </w:tcPr>
          <w:p>
            <w:pPr>
              <w:spacing w:line="360" w:lineRule="auto"/>
              <w:jc w:val="center"/>
              <w:rPr>
                <w:rFonts w:ascii="宋体" w:hAnsi="宋体" w:cs="Arial"/>
                <w:b/>
                <w:bCs/>
                <w:color w:val="000000"/>
                <w:sz w:val="24"/>
                <w:szCs w:val="24"/>
              </w:rPr>
            </w:pPr>
          </w:p>
        </w:tc>
        <w:tc>
          <w:tcPr>
            <w:tcW w:w="3835" w:type="pct"/>
            <w:gridSpan w:val="5"/>
            <w:tcBorders>
              <w:bottom w:val="single" w:sz="4" w:space="0" w:color="auto"/>
            </w:tcBorders>
            <w:shd w:val="clear" w:color="auto" w:fill="auto"/>
            <w:vAlign w:val="center"/>
          </w:tcPr>
          <w:p>
            <w:pPr>
              <w:spacing w:line="360" w:lineRule="auto"/>
              <w:jc w:val="center"/>
              <w:rPr>
                <w:rFonts w:ascii="宋体" w:hAnsi="宋体" w:cs="Arial"/>
                <w:b/>
                <w:bCs/>
                <w:color w:val="0F1A81"/>
                <w:sz w:val="24"/>
                <w:szCs w:val="24"/>
              </w:rPr>
            </w:pPr>
            <w:r>
              <w:rPr>
                <w:rFonts w:ascii="宋体" w:hAnsi="宋体" w:cs="Arial" w:hint="eastAsia"/>
                <w:b/>
                <w:bCs/>
                <w:color w:val="0F1A81"/>
                <w:sz w:val="24"/>
                <w:szCs w:val="24"/>
              </w:rPr>
              <w:t>合计</w:t>
            </w:r>
          </w:p>
        </w:tc>
        <w:tc>
          <w:tcPr>
            <w:tcW w:w="800" w:type="pct"/>
            <w:tcBorders>
              <w:bottom w:val="single" w:sz="4" w:space="0" w:color="auto"/>
            </w:tcBorders>
            <w:shd w:val="clear" w:color="auto" w:fill="auto"/>
            <w:vAlign w:val="center"/>
          </w:tcPr>
          <w:p>
            <w:pPr>
              <w:spacing w:line="360" w:lineRule="auto"/>
              <w:jc w:val="center"/>
              <w:rPr>
                <w:rFonts w:ascii="宋体" w:hAnsi="宋体" w:cs="Arial"/>
                <w:b/>
                <w:bCs/>
                <w:color w:val="0F1A81"/>
                <w:sz w:val="24"/>
                <w:szCs w:val="24"/>
              </w:rPr>
            </w:pPr>
            <w:r>
              <w:rPr>
                <w:rFonts w:hint="eastAsia"/>
                <w:sz w:val="24"/>
                <w:szCs w:val="24"/>
              </w:rPr>
              <w:t>{{总计}}</w:t>
            </w:r>
          </w:p>
        </w:tc>
      </w:tr>
    </w:tbl>
    <w:p>
      <w:pPr>
        <w:spacing w:line="360" w:lineRule="auto"/>
        <w:rPr>
          <w:rFonts w:ascii="宋体" w:hAnsi="宋体"/>
          <w:b/>
          <w:sz w:val="24"/>
          <w:szCs w:val="24"/>
        </w:rPr>
        <w:sectPr>
          <w:headerReference w:type="even" r:id="rId11"/>
          <w:headerReference w:type="default" r:id="rId12"/>
          <w:headerReference w:type="first" r:id="rId13"/>
          <w:pgSz w:w="16838" w:h="11906" w:orient="landscape"/>
          <w:pgMar w:top="1418" w:right="1134" w:bottom="1418" w:left="1135" w:header="851" w:footer="992" w:gutter="0"/>
          <w:cols w:num="1" w:space="425"/>
          <w:docGrid w:type="lines" w:linePitch="312" w:charSpace="0"/>
        </w:sectPr>
      </w:pPr>
    </w:p>
    <w:p>
      <w:pPr>
        <w:spacing w:line="360" w:lineRule="auto"/>
        <w:rPr>
          <w:rFonts w:ascii="宋体" w:hAnsi="宋体"/>
          <w:b/>
          <w:sz w:val="24"/>
          <w:szCs w:val="24"/>
        </w:rPr>
      </w:pPr>
    </w:p>
    <w:p>
      <w:pPr>
        <w:spacing w:line="360" w:lineRule="auto"/>
        <w:rPr>
          <w:rFonts w:ascii="宋体" w:hAnsi="宋体"/>
          <w:b/>
          <w:sz w:val="24"/>
          <w:szCs w:val="24"/>
        </w:rPr>
      </w:pPr>
      <w:r>
        <w:rPr>
          <w:rFonts w:ascii="宋体" w:hAnsi="宋体" w:hint="eastAsia"/>
          <w:b/>
          <w:sz w:val="24"/>
          <w:szCs w:val="24"/>
        </w:rPr>
        <w:t>第四条  经费支付方式：</w:t>
      </w:r>
    </w:p>
    <w:p>
      <w:pPr>
        <w:pStyle w:val="ListParagraph"/>
        <w:spacing w:line="360" w:lineRule="auto"/>
        <w:ind w:firstLine="480"/>
        <w:rPr>
          <w:rFonts w:ascii="宋体" w:hAnsi="宋体"/>
          <w:sz w:val="24"/>
          <w:szCs w:val="24"/>
        </w:rPr>
      </w:pPr>
      <w:r>
        <w:rPr>
          <w:rFonts w:ascii="宋体" w:hAnsi="宋体" w:hint="eastAsia"/>
          <w:sz w:val="24"/>
          <w:szCs w:val="24"/>
        </w:rPr>
        <w:t>委托方向受委托方支付检验、测试、化验及加工等费用的总额为：</w:t>
      </w:r>
      <w:r>
        <w:rPr>
          <w:rFonts w:ascii="宋体" w:hAnsi="宋体"/>
          <w:sz w:val="24"/>
          <w:szCs w:val="24"/>
        </w:rPr>
        <w:t>__</w:t>
      </w:r>
      <w:r>
        <w:rPr>
          <w:rFonts w:hint="eastAsia"/>
          <w:sz w:val="24"/>
          <w:szCs w:val="24"/>
          <w:u w:val="single"/>
        </w:rPr>
        <w:t>{{总计}}</w:t>
      </w:r>
      <w:r>
        <w:rPr>
          <w:rFonts w:ascii="宋体" w:hAnsi="宋体"/>
          <w:sz w:val="24"/>
          <w:szCs w:val="24"/>
        </w:rPr>
        <w:t>__</w:t>
      </w:r>
      <w:r>
        <w:rPr>
          <w:rFonts w:ascii="宋体" w:hAnsi="宋体" w:hint="eastAsia"/>
          <w:sz w:val="24"/>
          <w:szCs w:val="24"/>
        </w:rPr>
        <w:t>元。该费用待受委托方按照协议约定完成全部委托任务，委托方确认结果无误后，由委托方</w:t>
      </w:r>
      <w:r>
        <w:rPr>
          <w:rFonts w:ascii="宋体" w:hAnsi="宋体"/>
          <w:sz w:val="24"/>
          <w:szCs w:val="24"/>
          <w:u w:val="single"/>
        </w:rPr>
        <w:t>_</w:t>
      </w:r>
      <w:r>
        <w:rPr>
          <w:rFonts w:ascii="宋体" w:hAnsi="宋体" w:hint="eastAsia"/>
          <w:sz w:val="24"/>
          <w:szCs w:val="24"/>
          <w:u w:val="single"/>
        </w:rPr>
        <w:t>一次</w:t>
      </w:r>
      <w:r>
        <w:rPr>
          <w:rFonts w:ascii="宋体" w:hAnsi="宋体"/>
          <w:sz w:val="24"/>
          <w:szCs w:val="24"/>
          <w:u w:val="single"/>
        </w:rPr>
        <w:t>_</w:t>
      </w:r>
      <w:r>
        <w:rPr>
          <w:rFonts w:ascii="宋体" w:hAnsi="宋体" w:hint="eastAsia"/>
          <w:sz w:val="24"/>
          <w:szCs w:val="24"/>
        </w:rPr>
        <w:t>支付给受委托方。</w:t>
      </w:r>
    </w:p>
    <w:p>
      <w:pPr>
        <w:spacing w:line="360" w:lineRule="auto"/>
        <w:rPr>
          <w:rFonts w:ascii="宋体" w:hAnsi="宋体"/>
          <w:b/>
          <w:sz w:val="24"/>
          <w:szCs w:val="24"/>
        </w:rPr>
      </w:pPr>
      <w:r>
        <w:rPr>
          <w:rFonts w:ascii="宋体" w:hAnsi="宋体" w:hint="eastAsia"/>
          <w:b/>
          <w:sz w:val="24"/>
          <w:szCs w:val="24"/>
        </w:rPr>
        <w:t>第五条  知识产权归属</w:t>
      </w:r>
    </w:p>
    <w:p>
      <w:pPr>
        <w:pStyle w:val="ListParagraph"/>
        <w:spacing w:line="360" w:lineRule="auto"/>
        <w:ind w:left="280" w:firstLine="0" w:firstLineChars="0"/>
        <w:rPr>
          <w:rFonts w:ascii="宋体" w:hAnsi="宋体"/>
          <w:sz w:val="24"/>
          <w:szCs w:val="24"/>
        </w:rPr>
      </w:pPr>
      <w:r>
        <w:rPr>
          <w:rFonts w:ascii="宋体" w:hAnsi="宋体" w:hint="eastAsia"/>
          <w:sz w:val="24"/>
          <w:szCs w:val="24"/>
        </w:rPr>
        <w:t>1. 本协议所产生的所有成果的知识产权全部归属于委托方，发表论文时不与受委托方共同署名。</w:t>
      </w:r>
    </w:p>
    <w:p>
      <w:pPr>
        <w:pStyle w:val="ListParagraph"/>
        <w:spacing w:line="360" w:lineRule="auto"/>
        <w:ind w:left="280" w:firstLine="0" w:firstLineChars="0"/>
        <w:rPr>
          <w:rFonts w:ascii="宋体" w:hAnsi="宋体"/>
          <w:sz w:val="24"/>
          <w:szCs w:val="24"/>
          <w:highlight w:val="yellow"/>
        </w:rPr>
      </w:pPr>
      <w:r>
        <w:rPr>
          <w:rFonts w:ascii="宋体" w:hAnsi="宋体" w:hint="eastAsia"/>
          <w:sz w:val="24"/>
          <w:szCs w:val="24"/>
        </w:rPr>
        <w:t>2. 受委托方不得利用测试结果单独申报任何形式的成果。</w:t>
      </w:r>
    </w:p>
    <w:p>
      <w:pPr>
        <w:spacing w:line="360" w:lineRule="auto"/>
        <w:rPr>
          <w:rFonts w:ascii="宋体" w:hAnsi="宋体"/>
          <w:b/>
          <w:sz w:val="24"/>
          <w:szCs w:val="24"/>
        </w:rPr>
      </w:pPr>
      <w:r>
        <w:rPr>
          <w:rFonts w:ascii="宋体" w:hAnsi="宋体" w:hint="eastAsia"/>
          <w:b/>
          <w:sz w:val="24"/>
          <w:szCs w:val="24"/>
        </w:rPr>
        <w:t>第六条  保密条款</w:t>
      </w:r>
    </w:p>
    <w:p>
      <w:pPr>
        <w:pStyle w:val="ListParagraph"/>
        <w:numPr>
          <w:ilvl w:val="0"/>
          <w:numId w:val="2"/>
        </w:numPr>
        <w:spacing w:line="360" w:lineRule="auto"/>
        <w:ind w:firstLineChars="0"/>
        <w:rPr>
          <w:rFonts w:ascii="宋体" w:hAnsi="宋体"/>
          <w:sz w:val="24"/>
          <w:szCs w:val="24"/>
        </w:rPr>
      </w:pPr>
      <w:r>
        <w:rPr>
          <w:rFonts w:ascii="宋体" w:hAnsi="宋体" w:hint="eastAsia"/>
          <w:sz w:val="24"/>
          <w:szCs w:val="24"/>
        </w:rPr>
        <w:t>受委托方保证不向委托方以外的人员提供或披露本合同的委托内容及未公开的信息和资料,包括但不限于本协议的委托内容及结果。</w:t>
      </w:r>
    </w:p>
    <w:p>
      <w:pPr>
        <w:pStyle w:val="ListParagraph"/>
        <w:numPr>
          <w:ilvl w:val="0"/>
          <w:numId w:val="2"/>
        </w:numPr>
        <w:spacing w:line="360" w:lineRule="auto"/>
        <w:ind w:firstLineChars="0"/>
        <w:rPr>
          <w:rFonts w:ascii="宋体" w:hAnsi="宋体"/>
          <w:sz w:val="24"/>
          <w:szCs w:val="24"/>
        </w:rPr>
      </w:pPr>
      <w:r>
        <w:rPr>
          <w:rFonts w:ascii="宋体" w:hAnsi="宋体" w:hint="eastAsia"/>
          <w:sz w:val="24"/>
          <w:szCs w:val="24"/>
        </w:rPr>
        <w:t>双方保证采取一切合理和必要措施和方式对委托中知悉的对方商业秘密进行保密。</w:t>
      </w:r>
    </w:p>
    <w:p>
      <w:pPr>
        <w:spacing w:line="360" w:lineRule="auto"/>
        <w:rPr>
          <w:rFonts w:ascii="宋体" w:hAnsi="宋体"/>
          <w:b/>
          <w:sz w:val="24"/>
          <w:szCs w:val="24"/>
        </w:rPr>
      </w:pPr>
      <w:r>
        <w:rPr>
          <w:rFonts w:ascii="宋体" w:hAnsi="宋体" w:hint="eastAsia"/>
          <w:b/>
          <w:sz w:val="24"/>
          <w:szCs w:val="24"/>
        </w:rPr>
        <w:t>第七条  受委托方承诺</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如委托的任务涉及人类遗传资源采集、收集、买卖、出口、出境等，受委托方承诺遵照《中华人民共和国人类遗传资源管理条例》（中华人民共和国国务院令第717）相关规定执行。</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受委托方不得将委托方提供的样本、信息等材料转给其他单位，不得利用委托方材料进行与委托任务无关的研究，不得在委托任务基础上再开发。</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如委托任务涉及动物实验，受委托方承诺自觉遵守《实验动物管理条例》，严格选用符合要求的合格动物进行实验，遵守实验动物伦理3R原则，保障动物福利</w:t>
      </w:r>
      <w:r>
        <w:rPr>
          <w:rFonts w:ascii="宋体" w:hAnsi="宋体"/>
          <w:sz w:val="24"/>
          <w:szCs w:val="24"/>
        </w:rPr>
        <w:t>。</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在受委托方从事委托事项中发生的不可归责于委托方的人身、财产损害，由受委托方自行承担。</w:t>
      </w:r>
    </w:p>
    <w:p>
      <w:pPr>
        <w:spacing w:line="360" w:lineRule="auto"/>
        <w:rPr>
          <w:rFonts w:ascii="宋体" w:hAnsi="宋体"/>
          <w:b/>
          <w:sz w:val="24"/>
          <w:szCs w:val="24"/>
        </w:rPr>
      </w:pPr>
      <w:r>
        <w:rPr>
          <w:rFonts w:ascii="宋体" w:hAnsi="宋体" w:hint="eastAsia"/>
          <w:b/>
          <w:sz w:val="24"/>
          <w:szCs w:val="24"/>
        </w:rPr>
        <w:t>第八条  不可抗力</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本协议所指不可抗力是指不能预见、不能避免并不能克服的客观情况，包括但不限于地震、火灾、水灾、疫情、战争、政府行为等。</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受委托方因不可抗力不能履行协议的，应当在不可抗力事件发生之日起七日内将不可抗力事由以书面方式通知委托方，并应当在合理期限内提供证明。</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因不可抗力不能履行本协议的，根据不可抗力的影响，部分或全部免除责任。受委托方延迟履行后发生不可抗力的，不能免除责任。</w:t>
      </w:r>
    </w:p>
    <w:p>
      <w:pPr>
        <w:spacing w:line="360" w:lineRule="auto"/>
        <w:rPr>
          <w:rFonts w:ascii="宋体" w:hAnsi="宋体"/>
          <w:b/>
          <w:sz w:val="24"/>
          <w:szCs w:val="24"/>
        </w:rPr>
      </w:pPr>
      <w:r>
        <w:rPr>
          <w:rFonts w:ascii="宋体" w:hAnsi="宋体" w:hint="eastAsia"/>
          <w:b/>
          <w:sz w:val="24"/>
          <w:szCs w:val="24"/>
        </w:rPr>
        <w:t>第九条  违约责任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如无正当理由，委托方应在受委托方完成委托任务并交付结算材料后3个月内完成经费拨付。如未能按期拨付经费，且经受委托方催促仍不能拨付或不能给出合理解释的，给受委托方造成损失的，委托方应承担相应赔偿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如受委托方在完成委托工作时出现弄虚作假情况、不履行本协议或履行义务不符合要求的，委托方有权追回全部已拨经费。如受委托方违约行为造成委托方损失的，委托方有权要求赔偿并追究受委托方相关责任人员的法律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非因委托方违约或非因不可抗力，受委托方不能完成受托任务或受委托方逾期不能提交全部产出成果的，委托方有权解除本委托。委托解除后，受委托方已产生的费用由受委托方承担，委托方交付给受委托方的样本、数据等材料退回。如受委托方的违约行为给委托方造成损失的，受委托方还应承担相应的赔偿责任。</w:t>
      </w:r>
    </w:p>
    <w:p>
      <w:pPr>
        <w:spacing w:line="360" w:lineRule="auto"/>
        <w:rPr>
          <w:rFonts w:ascii="宋体" w:hAnsi="宋体"/>
          <w:b/>
          <w:sz w:val="24"/>
          <w:szCs w:val="24"/>
        </w:rPr>
      </w:pPr>
      <w:r>
        <w:rPr>
          <w:rFonts w:ascii="宋体" w:hAnsi="宋体" w:hint="eastAsia"/>
          <w:b/>
          <w:sz w:val="24"/>
          <w:szCs w:val="24"/>
        </w:rPr>
        <w:t>第十条  协议的变更、终止及解除</w:t>
      </w:r>
    </w:p>
    <w:p>
      <w:pPr>
        <w:pStyle w:val="ListParagraph"/>
        <w:numPr>
          <w:ilvl w:val="0"/>
          <w:numId w:val="6"/>
        </w:numPr>
        <w:spacing w:line="360" w:lineRule="auto"/>
        <w:ind w:firstLineChars="0"/>
        <w:rPr>
          <w:rFonts w:ascii="宋体" w:hAnsi="宋体"/>
          <w:sz w:val="24"/>
          <w:szCs w:val="24"/>
        </w:rPr>
      </w:pPr>
      <w:r>
        <w:rPr>
          <w:rFonts w:ascii="宋体" w:hAnsi="宋体" w:hint="eastAsia"/>
          <w:sz w:val="24"/>
          <w:szCs w:val="24"/>
        </w:rPr>
        <w:t>本协议的变更应由双方协商一致后达成变更协议，并作为本协议的附件。</w:t>
      </w:r>
    </w:p>
    <w:p>
      <w:pPr>
        <w:pStyle w:val="ListParagraph"/>
        <w:numPr>
          <w:ilvl w:val="0"/>
          <w:numId w:val="6"/>
        </w:numPr>
        <w:spacing w:line="360" w:lineRule="auto"/>
        <w:ind w:firstLineChars="0"/>
        <w:rPr>
          <w:rFonts w:ascii="宋体" w:hAnsi="宋体"/>
          <w:sz w:val="24"/>
          <w:szCs w:val="24"/>
        </w:rPr>
      </w:pPr>
      <w:r>
        <w:rPr>
          <w:rFonts w:ascii="宋体" w:hAnsi="宋体" w:hint="eastAsia"/>
          <w:sz w:val="24"/>
          <w:szCs w:val="24"/>
        </w:rPr>
        <w:t>本协议可由双方协商一致予以终止。</w:t>
      </w:r>
    </w:p>
    <w:p>
      <w:pPr>
        <w:spacing w:line="360" w:lineRule="auto"/>
        <w:rPr>
          <w:rFonts w:ascii="宋体" w:hAnsi="宋体"/>
          <w:b/>
          <w:sz w:val="24"/>
          <w:szCs w:val="24"/>
        </w:rPr>
      </w:pPr>
      <w:r>
        <w:rPr>
          <w:rFonts w:ascii="宋体" w:hAnsi="宋体" w:hint="eastAsia"/>
          <w:b/>
          <w:sz w:val="24"/>
          <w:szCs w:val="24"/>
        </w:rPr>
        <w:t>第十一条  争议解决：</w:t>
      </w:r>
      <w:r>
        <w:rPr>
          <w:rFonts w:ascii="宋体" w:hAnsi="宋体" w:hint="eastAsia"/>
          <w:sz w:val="24"/>
          <w:szCs w:val="24"/>
        </w:rPr>
        <w:t>如在履行本协议的过程中发生争执，双方当事人应友好协商解决，如协商不成，任何一方可向委托方签署地（委托方所在地）有管辖权的人民法院提起诉讼。</w:t>
      </w:r>
    </w:p>
    <w:p>
      <w:pPr>
        <w:pStyle w:val="ListParagraph"/>
        <w:spacing w:line="360" w:lineRule="auto"/>
        <w:ind w:firstLine="0" w:firstLineChars="0"/>
        <w:rPr>
          <w:rFonts w:ascii="宋体" w:hAnsi="宋体"/>
          <w:b/>
          <w:sz w:val="24"/>
          <w:szCs w:val="24"/>
        </w:rPr>
      </w:pPr>
      <w:r>
        <w:rPr>
          <w:rFonts w:ascii="宋体" w:hAnsi="宋体" w:hint="eastAsia"/>
          <w:b/>
          <w:sz w:val="24"/>
          <w:szCs w:val="24"/>
        </w:rPr>
        <w:t>第十二条  其他约定事项（如无其他事项，请填“无”）</w:t>
      </w:r>
    </w:p>
    <w:p>
      <w:pPr>
        <w:pStyle w:val="ListParagraph"/>
        <w:spacing w:line="360" w:lineRule="auto"/>
        <w:ind w:firstLine="0" w:firstLineChars="0"/>
        <w:rPr>
          <w:rFonts w:ascii="宋体" w:hAnsi="宋体"/>
          <w:b/>
          <w:sz w:val="24"/>
          <w:szCs w:val="24"/>
        </w:rPr>
      </w:pPr>
    </w:p>
    <w:p>
      <w:pPr>
        <w:pStyle w:val="ListParagraph"/>
        <w:spacing w:line="360" w:lineRule="auto"/>
        <w:ind w:firstLine="0" w:firstLineChars="0"/>
        <w:rPr>
          <w:rFonts w:ascii="宋体" w:hAnsi="宋体"/>
          <w:b/>
          <w:sz w:val="24"/>
          <w:szCs w:val="24"/>
        </w:rPr>
      </w:pPr>
    </w:p>
    <w:p>
      <w:pPr>
        <w:pStyle w:val="ListParagraph"/>
        <w:spacing w:line="360" w:lineRule="auto"/>
        <w:ind w:firstLine="0" w:firstLineChars="0"/>
        <w:rPr>
          <w:rFonts w:ascii="宋体" w:hAnsi="宋体"/>
          <w:sz w:val="24"/>
          <w:szCs w:val="24"/>
        </w:rPr>
      </w:pPr>
      <w:r>
        <w:rPr>
          <w:rFonts w:ascii="宋体" w:hAnsi="宋体" w:hint="eastAsia"/>
          <w:b/>
          <w:sz w:val="24"/>
          <w:szCs w:val="24"/>
        </w:rPr>
        <w:t xml:space="preserve">第十三条  </w:t>
      </w:r>
      <w:r>
        <w:rPr>
          <w:rFonts w:ascii="宋体" w:hAnsi="宋体" w:hint="eastAsia"/>
          <w:sz w:val="24"/>
          <w:szCs w:val="24"/>
        </w:rPr>
        <w:t>本协议自甲乙双方项目负责人签字并加盖单位公章或单位合同专用章之日起生效。本协议一式</w:t>
      </w:r>
      <w:r>
        <w:rPr>
          <w:rFonts w:ascii="宋体" w:hAnsi="宋体"/>
          <w:sz w:val="24"/>
          <w:szCs w:val="24"/>
        </w:rPr>
        <w:t>2</w:t>
      </w:r>
      <w:r>
        <w:rPr>
          <w:rFonts w:ascii="宋体" w:hAnsi="宋体" w:hint="eastAsia"/>
          <w:sz w:val="24"/>
          <w:szCs w:val="24"/>
        </w:rPr>
        <w:t>份，双方各执</w:t>
      </w:r>
      <w:r>
        <w:rPr>
          <w:rFonts w:ascii="宋体" w:hAnsi="宋体"/>
          <w:sz w:val="24"/>
          <w:szCs w:val="24"/>
        </w:rPr>
        <w:t>1</w:t>
      </w:r>
      <w:r>
        <w:rPr>
          <w:rFonts w:ascii="宋体" w:hAnsi="宋体" w:hint="eastAsia"/>
          <w:sz w:val="24"/>
          <w:szCs w:val="24"/>
        </w:rPr>
        <w:t>份，由</w:t>
      </w:r>
      <w:r>
        <w:rPr>
          <w:rFonts w:ascii="宋体" w:hAnsi="宋体"/>
          <w:sz w:val="24"/>
          <w:szCs w:val="24"/>
        </w:rPr>
        <w:t>甲方将双方盖章签字的纸</w:t>
      </w:r>
      <w:r>
        <w:rPr>
          <w:rFonts w:ascii="宋体" w:hAnsi="宋体" w:hint="eastAsia"/>
          <w:sz w:val="24"/>
          <w:szCs w:val="24"/>
        </w:rPr>
        <w:t>版协议</w:t>
      </w:r>
      <w:r>
        <w:rPr>
          <w:rFonts w:ascii="宋体" w:hAnsi="宋体"/>
          <w:sz w:val="24"/>
          <w:szCs w:val="24"/>
        </w:rPr>
        <w:t>扫描上传</w:t>
      </w:r>
      <w:r>
        <w:rPr>
          <w:rFonts w:ascii="宋体" w:hAnsi="宋体" w:hint="eastAsia"/>
          <w:sz w:val="24"/>
          <w:szCs w:val="24"/>
        </w:rPr>
        <w:t>到“首都医科大学科研技术服务管理系统”，扫描</w:t>
      </w:r>
      <w:r>
        <w:rPr>
          <w:rFonts w:ascii="宋体" w:hAnsi="宋体"/>
          <w:sz w:val="24"/>
          <w:szCs w:val="24"/>
        </w:rPr>
        <w:t>件与纸</w:t>
      </w:r>
      <w:r>
        <w:rPr>
          <w:rFonts w:ascii="宋体" w:hAnsi="宋体" w:hint="eastAsia"/>
          <w:sz w:val="24"/>
          <w:szCs w:val="24"/>
        </w:rPr>
        <w:t>版具有同等法律效力。</w:t>
      </w:r>
    </w:p>
    <w:p>
      <w:pPr>
        <w:pStyle w:val="ListParagraph"/>
        <w:spacing w:line="360" w:lineRule="auto"/>
        <w:ind w:firstLine="0" w:firstLineChars="0"/>
        <w:rPr>
          <w:rFonts w:eastAsia="楷体_GB2312"/>
          <w:sz w:val="24"/>
          <w:szCs w:val="24"/>
        </w:rPr>
      </w:pPr>
      <w:r>
        <w:rPr>
          <w:rFonts w:eastAsia="楷体_GB2312" w:hint="eastAsia"/>
          <w:sz w:val="24"/>
          <w:szCs w:val="24"/>
        </w:rPr>
        <w:t>与本协议约定事项有关的技术资料附件清单：</w:t>
      </w:r>
      <w:r>
        <w:rPr>
          <w:rFonts w:ascii="宋体" w:hAnsi="宋体" w:hint="eastAsia"/>
          <w:b/>
          <w:sz w:val="24"/>
          <w:szCs w:val="24"/>
        </w:rPr>
        <w:t>（如无其他附件，请填“无”）</w:t>
      </w:r>
    </w:p>
    <w:p/>
    <w:p>
      <w:r>
        <w:br w:type="page"/>
      </w:r>
    </w:p>
    <w:p>
      <w:pPr>
        <w:rPr>
          <w:b/>
          <w:sz w:val="24"/>
          <w:szCs w:val="24"/>
        </w:rPr>
      </w:pPr>
      <w:r>
        <w:rPr>
          <w:rFonts w:hint="eastAsia"/>
          <w:b/>
          <w:sz w:val="24"/>
          <w:szCs w:val="24"/>
        </w:rPr>
        <w:t>第十四条、签字盖章页</w:t>
      </w:r>
    </w:p>
    <w:p>
      <w:pPr>
        <w:rPr>
          <w:sz w:val="24"/>
          <w:szCs w:val="24"/>
        </w:r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75"/>
        <w:gridCol w:w="1560"/>
        <w:gridCol w:w="1984"/>
        <w:gridCol w:w="1418"/>
        <w:gridCol w:w="340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50"/>
        </w:trPr>
        <w:tc>
          <w:tcPr>
            <w:tcW w:w="675" w:type="dxa"/>
            <w:vMerge w:val="restart"/>
            <w:textDirection w:val="tbRlV"/>
            <w:vAlign w:val="center"/>
          </w:tcPr>
          <w:p>
            <w:pPr>
              <w:ind w:left="113" w:right="113"/>
              <w:jc w:val="center"/>
              <w:rPr>
                <w:sz w:val="24"/>
              </w:rPr>
            </w:pPr>
            <w:r>
              <w:rPr>
                <w:rFonts w:hint="eastAsia"/>
                <w:b/>
                <w:sz w:val="24"/>
              </w:rPr>
              <w:t>委   托   方（甲  方）</w:t>
            </w:r>
          </w:p>
        </w:tc>
        <w:tc>
          <w:tcPr>
            <w:tcW w:w="1560" w:type="dxa"/>
            <w:vMerge w:val="restart"/>
            <w:vAlign w:val="center"/>
          </w:tcPr>
          <w:p>
            <w:pPr>
              <w:jc w:val="center"/>
              <w:rPr>
                <w:sz w:val="24"/>
              </w:rPr>
            </w:pPr>
            <w:r>
              <w:rPr>
                <w:rFonts w:hint="eastAsia"/>
                <w:sz w:val="24"/>
              </w:rPr>
              <w:t>委托方</w:t>
            </w:r>
          </w:p>
          <w:p>
            <w:pPr>
              <w:jc w:val="center"/>
              <w:rPr>
                <w:sz w:val="24"/>
              </w:rPr>
            </w:pPr>
            <w:r>
              <w:rPr>
                <w:rFonts w:hint="eastAsia"/>
                <w:sz w:val="24"/>
              </w:rPr>
              <w:t>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jc w:val="both"/>
              <w:rPr>
                <w:sz w:val="24"/>
              </w:rPr>
            </w:pPr>
            <w:r>
              <w:rPr>
                <w:rFonts w:hint="eastAsia"/>
                <w:sz w:val="24"/>
              </w:rPr>
              <w:t>办公电话：</w:t>
            </w:r>
          </w:p>
        </w:tc>
      </w:tr>
      <w:tr>
        <w:tblPrEx>
          <w:tblW w:w="0" w:type="auto"/>
          <w:tblInd w:w="0" w:type="dxa"/>
          <w:tblLayout w:type="fixed"/>
          <w:tblCellMar>
            <w:top w:w="0" w:type="dxa"/>
            <w:left w:w="108" w:type="dxa"/>
            <w:bottom w:w="0" w:type="dxa"/>
            <w:right w:w="108" w:type="dxa"/>
          </w:tblCellMar>
        </w:tblPrEx>
        <w:trPr>
          <w:trHeight w:val="727"/>
        </w:trPr>
        <w:tc>
          <w:tcPr>
            <w:tcW w:w="675" w:type="dxa"/>
            <w:vMerge/>
          </w:tcPr>
          <w:p>
            <w:pPr>
              <w:jc w:val="center"/>
              <w:rPr>
                <w:sz w:val="24"/>
              </w:rPr>
            </w:pPr>
          </w:p>
        </w:tc>
        <w:tc>
          <w:tcPr>
            <w:tcW w:w="1560" w:type="dxa"/>
            <w:vMerge/>
            <w:vAlign w:val="center"/>
          </w:tcPr>
          <w:p>
            <w:pPr>
              <w:jc w:val="center"/>
              <w:rPr>
                <w:sz w:val="24"/>
              </w:rPr>
            </w:pPr>
          </w:p>
        </w:tc>
        <w:tc>
          <w:tcPr>
            <w:tcW w:w="1984" w:type="dxa"/>
            <w:vMerge/>
          </w:tcPr>
          <w:p>
            <w:pPr>
              <w:jc w:val="center"/>
              <w:rPr>
                <w:sz w:val="24"/>
              </w:rPr>
            </w:pPr>
          </w:p>
        </w:tc>
        <w:tc>
          <w:tcPr>
            <w:tcW w:w="1418" w:type="dxa"/>
            <w:vMerge/>
            <w:vAlign w:val="center"/>
          </w:tcPr>
          <w:p>
            <w:pPr>
              <w:jc w:val="both"/>
              <w:rPr>
                <w:sz w:val="24"/>
              </w:rPr>
            </w:pPr>
          </w:p>
        </w:tc>
        <w:tc>
          <w:tcPr>
            <w:tcW w:w="3402" w:type="dxa"/>
            <w:vAlign w:val="center"/>
          </w:tcPr>
          <w:p>
            <w:pPr>
              <w:jc w:val="both"/>
              <w:rPr>
                <w:sz w:val="24"/>
              </w:rPr>
            </w:pPr>
            <w:r>
              <w:rPr>
                <w:rFonts w:hint="eastAsia"/>
                <w:sz w:val="24"/>
              </w:rPr>
              <w:t>手机：</w:t>
            </w:r>
          </w:p>
        </w:tc>
      </w:tr>
      <w:tr>
        <w:tblPrEx>
          <w:tblW w:w="0" w:type="auto"/>
          <w:tblInd w:w="0" w:type="dxa"/>
          <w:tblLayout w:type="fixed"/>
          <w:tblCellMar>
            <w:top w:w="0" w:type="dxa"/>
            <w:left w:w="108" w:type="dxa"/>
            <w:bottom w:w="0" w:type="dxa"/>
            <w:right w:w="108" w:type="dxa"/>
          </w:tblCellMar>
        </w:tblPrEx>
        <w:trPr>
          <w:trHeight w:val="1985"/>
        </w:trPr>
        <w:tc>
          <w:tcPr>
            <w:tcW w:w="675" w:type="dxa"/>
            <w:vMerge/>
          </w:tcPr>
          <w:p>
            <w:pPr>
              <w:jc w:val="center"/>
              <w:rPr>
                <w:sz w:val="24"/>
              </w:rPr>
            </w:pPr>
          </w:p>
        </w:tc>
        <w:tc>
          <w:tcPr>
            <w:tcW w:w="1560" w:type="dxa"/>
            <w:vAlign w:val="center"/>
          </w:tcPr>
          <w:p>
            <w:pPr>
              <w:jc w:val="center"/>
              <w:rPr>
                <w:sz w:val="24"/>
              </w:rPr>
            </w:pPr>
            <w:r>
              <w:rPr>
                <w:rFonts w:hint="eastAsia"/>
                <w:sz w:val="24"/>
              </w:rPr>
              <w:t>所在单位</w:t>
            </w:r>
          </w:p>
        </w:tc>
        <w:tc>
          <w:tcPr>
            <w:tcW w:w="6804" w:type="dxa"/>
            <w:gridSpan w:val="3"/>
          </w:tcPr>
          <w:p>
            <w:pPr>
              <w:jc w:val="center"/>
              <w:rPr>
                <w:rFonts w:ascii="宋体" w:hAnsi="宋体"/>
                <w:sz w:val="24"/>
              </w:rPr>
            </w:pPr>
          </w:p>
          <w:p>
            <w:pPr>
              <w:rPr>
                <w:rFonts w:ascii="宋体" w:hAnsi="宋体"/>
                <w:sz w:val="24"/>
              </w:rPr>
            </w:pPr>
            <w:r>
              <w:rPr>
                <w:rFonts w:ascii="宋体" w:hAnsi="宋体"/>
                <w:sz w:val="24"/>
              </w:rPr>
              <mc:AlternateContent>
                <mc:Choice Requires="wps">
                  <w:drawing>
                    <wp:anchor distT="0" distB="0" distL="114300" distR="114300" simplePos="0" relativeHeight="251658240" behindDoc="0" locked="0" layoutInCell="1" allowOverlap="1">
                      <wp:simplePos x="0" y="0"/>
                      <wp:positionH relativeFrom="column">
                        <wp:posOffset>3834130</wp:posOffset>
                      </wp:positionH>
                      <wp:positionV relativeFrom="paragraph">
                        <wp:posOffset>25400</wp:posOffset>
                      </wp:positionV>
                      <wp:extent cx="2282190" cy="265430"/>
                      <wp:effectExtent l="0" t="0" r="3810" b="1905"/>
                      <wp:wrapNone/>
                      <wp:docPr id="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2282190" cy="265430"/>
                              </a:xfrm>
                              <a:prstGeom prst="rect">
                                <a:avLst/>
                              </a:prstGeom>
                              <a:solidFill>
                                <a:srgbClr val="FFFFFF"/>
                              </a:solidFill>
                              <a:ln w="9525">
                                <a:solidFill>
                                  <a:srgbClr val="000000"/>
                                </a:solidFill>
                                <a:miter lim="0"/>
                                <a:headEnd/>
                                <a:tailEnd/>
                              </a:ln>
                            </wps:spPr>
                            <wps:txbx>
                              <w:txbxContent>
                                <w:p>
                                  <w:r>
                                    <w:rPr>
                                      <w:rFonts w:hint="eastAsia"/>
                                    </w:rPr>
                                    <w:t>科技合同章骑缝章</w:t>
                                  </w:r>
                                </w:p>
                              </w:txbxContent>
                            </wps:txbx>
                            <wps:bodyPr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79.7pt;height:20.9pt;margin-top:2pt;margin-left:301.9pt;mso-height-relative:page;mso-width-relative:page;position:absolute;z-index:251659264" coordsize="21600,21600" filled="t" fillcolor="white" stroked="t" strokecolor="black">
                      <v:stroke joinstyle="miter"/>
                      <o:lock v:ext="edit" aspectratio="f"/>
                      <v:textbox style="mso-fit-shape-to-text:t">
                        <w:txbxContent>
                          <w:p>
                            <w:r>
                              <w:rPr>
                                <w:rFonts w:hint="eastAsia"/>
                              </w:rPr>
                              <w:t>科技合同章骑缝章</w:t>
                            </w:r>
                          </w:p>
                        </w:txbxContent>
                      </v:textbox>
                    </v:shape>
                  </w:pict>
                </mc:Fallback>
              </mc:AlternateContent>
            </w:r>
          </w:p>
          <w:p>
            <w:pPr>
              <w:jc w:val="center"/>
              <w:rPr>
                <w:rFonts w:ascii="宋体" w:hAnsi="宋体"/>
                <w:sz w:val="24"/>
              </w:rPr>
            </w:pPr>
          </w:p>
          <w:p>
            <w:pPr>
              <w:jc w:val="center"/>
              <w:rPr>
                <w:sz w:val="24"/>
              </w:rPr>
            </w:pPr>
            <w:r>
              <w:rPr>
                <w:rFonts w:ascii="宋体" w:hAnsi="宋体" w:hint="eastAsia"/>
                <w:sz w:val="24"/>
              </w:rPr>
              <w:t xml:space="preserve">                                  (科技合同章)</w:t>
            </w:r>
          </w:p>
        </w:tc>
      </w:tr>
      <w:tr>
        <w:tblPrEx>
          <w:tblW w:w="0" w:type="auto"/>
          <w:tblInd w:w="0" w:type="dxa"/>
          <w:tblLayout w:type="fixed"/>
          <w:tblCellMar>
            <w:top w:w="0" w:type="dxa"/>
            <w:left w:w="108" w:type="dxa"/>
            <w:bottom w:w="0" w:type="dxa"/>
            <w:right w:w="108" w:type="dxa"/>
          </w:tblCellMar>
        </w:tblPrEx>
        <w:tc>
          <w:tcPr>
            <w:tcW w:w="9039" w:type="dxa"/>
            <w:gridSpan w:val="5"/>
          </w:tcPr>
          <w:p>
            <w:pPr>
              <w:jc w:val="center"/>
              <w:rPr>
                <w:rFonts w:ascii="ˎ̥" w:hAnsi="ˎ̥" w:cs="宋体" w:hint="eastAsia"/>
                <w:color w:val="000000"/>
                <w:sz w:val="24"/>
                <w:szCs w:val="24"/>
              </w:rPr>
            </w:pPr>
          </w:p>
        </w:tc>
      </w:tr>
      <w:tr>
        <w:tblPrEx>
          <w:tblW w:w="0" w:type="auto"/>
          <w:tblInd w:w="0" w:type="dxa"/>
          <w:tblLayout w:type="fixed"/>
          <w:tblCellMar>
            <w:top w:w="0" w:type="dxa"/>
            <w:left w:w="108" w:type="dxa"/>
            <w:bottom w:w="0" w:type="dxa"/>
            <w:right w:w="108" w:type="dxa"/>
          </w:tblCellMar>
        </w:tblPrEx>
        <w:trPr>
          <w:trHeight w:val="545"/>
        </w:trPr>
        <w:tc>
          <w:tcPr>
            <w:tcW w:w="675" w:type="dxa"/>
            <w:vMerge w:val="restart"/>
            <w:textDirection w:val="tbRlV"/>
          </w:tcPr>
          <w:p>
            <w:pPr>
              <w:ind w:left="113" w:right="113"/>
              <w:jc w:val="center"/>
              <w:rPr>
                <w:sz w:val="24"/>
              </w:rPr>
            </w:pPr>
            <w:r>
              <w:rPr>
                <w:rFonts w:hint="eastAsia"/>
                <w:b/>
                <w:sz w:val="24"/>
              </w:rPr>
              <w:t>受   托   方（乙  方）</w:t>
            </w:r>
          </w:p>
        </w:tc>
        <w:tc>
          <w:tcPr>
            <w:tcW w:w="1560" w:type="dxa"/>
            <w:vMerge w:val="restart"/>
            <w:vAlign w:val="center"/>
          </w:tcPr>
          <w:p>
            <w:pPr>
              <w:jc w:val="center"/>
              <w:rPr>
                <w:sz w:val="24"/>
              </w:rPr>
            </w:pPr>
            <w:r>
              <w:rPr>
                <w:rFonts w:hint="eastAsia"/>
                <w:sz w:val="24"/>
              </w:rPr>
              <w:t>受托方承接任务负责人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rPr>
                <w:sz w:val="24"/>
              </w:rPr>
            </w:pPr>
            <w:r>
              <w:rPr>
                <w:rFonts w:hint="eastAsia"/>
                <w:sz w:val="24"/>
              </w:rPr>
              <w:t>办公电话：</w:t>
            </w:r>
          </w:p>
        </w:tc>
      </w:tr>
      <w:tr>
        <w:tblPrEx>
          <w:tblW w:w="0" w:type="auto"/>
          <w:tblInd w:w="0" w:type="dxa"/>
          <w:tblLayout w:type="fixed"/>
          <w:tblCellMar>
            <w:top w:w="0" w:type="dxa"/>
            <w:left w:w="108" w:type="dxa"/>
            <w:bottom w:w="0" w:type="dxa"/>
            <w:right w:w="108" w:type="dxa"/>
          </w:tblCellMar>
        </w:tblPrEx>
        <w:trPr>
          <w:trHeight w:val="535"/>
        </w:trPr>
        <w:tc>
          <w:tcPr>
            <w:tcW w:w="675" w:type="dxa"/>
            <w:vMerge/>
          </w:tcPr>
          <w:p>
            <w:pPr>
              <w:jc w:val="center"/>
              <w:rPr>
                <w:sz w:val="24"/>
              </w:rPr>
            </w:pPr>
          </w:p>
        </w:tc>
        <w:tc>
          <w:tcPr>
            <w:tcW w:w="1560" w:type="dxa"/>
            <w:vMerge/>
            <w:vAlign w:val="center"/>
          </w:tcPr>
          <w:p>
            <w:pPr>
              <w:jc w:val="center"/>
              <w:rPr>
                <w:sz w:val="24"/>
              </w:rPr>
            </w:pPr>
          </w:p>
        </w:tc>
        <w:tc>
          <w:tcPr>
            <w:tcW w:w="1984" w:type="dxa"/>
            <w:vMerge/>
          </w:tcPr>
          <w:p>
            <w:pPr>
              <w:jc w:val="center"/>
              <w:rPr>
                <w:sz w:val="24"/>
              </w:rPr>
            </w:pPr>
          </w:p>
        </w:tc>
        <w:tc>
          <w:tcPr>
            <w:tcW w:w="1418" w:type="dxa"/>
            <w:vMerge/>
            <w:vAlign w:val="center"/>
          </w:tcPr>
          <w:p>
            <w:pPr>
              <w:jc w:val="center"/>
              <w:rPr>
                <w:sz w:val="24"/>
              </w:rPr>
            </w:pPr>
          </w:p>
        </w:tc>
        <w:tc>
          <w:tcPr>
            <w:tcW w:w="3402" w:type="dxa"/>
            <w:vAlign w:val="center"/>
          </w:tcPr>
          <w:p>
            <w:pPr>
              <w:rPr>
                <w:sz w:val="24"/>
              </w:rPr>
            </w:pPr>
            <w:r>
              <w:rPr>
                <w:rFonts w:hint="eastAsia"/>
                <w:sz w:val="24"/>
              </w:rPr>
              <w:t>手机：</w:t>
            </w:r>
            <w:r>
              <w:rPr>
                <w:rFonts w:ascii="宋体" w:hAnsi="宋体" w:cs="宋体" w:hint="eastAsia"/>
                <w:bCs/>
                <w:sz w:val="28"/>
                <w:szCs w:val="28"/>
              </w:rPr>
              <w:t>{{联系电话}}</w:t>
            </w:r>
          </w:p>
        </w:tc>
      </w:tr>
      <w:tr>
        <w:tblPrEx>
          <w:tblW w:w="0" w:type="auto"/>
          <w:tblInd w:w="0" w:type="dxa"/>
          <w:tblLayout w:type="fixed"/>
          <w:tblCellMar>
            <w:top w:w="0" w:type="dxa"/>
            <w:left w:w="108" w:type="dxa"/>
            <w:bottom w:w="0" w:type="dxa"/>
            <w:right w:w="108" w:type="dxa"/>
          </w:tblCellMar>
        </w:tblPrEx>
        <w:trPr>
          <w:trHeight w:val="1375"/>
        </w:trPr>
        <w:tc>
          <w:tcPr>
            <w:tcW w:w="675" w:type="dxa"/>
            <w:vMerge/>
          </w:tcPr>
          <w:p>
            <w:pPr>
              <w:jc w:val="center"/>
              <w:rPr>
                <w:sz w:val="24"/>
              </w:rPr>
            </w:pPr>
          </w:p>
        </w:tc>
        <w:tc>
          <w:tcPr>
            <w:tcW w:w="1560" w:type="dxa"/>
            <w:vAlign w:val="center"/>
          </w:tcPr>
          <w:p>
            <w:pPr>
              <w:jc w:val="center"/>
              <w:rPr>
                <w:sz w:val="24"/>
              </w:rPr>
            </w:pPr>
            <w:r>
              <w:rPr>
                <w:rFonts w:hint="eastAsia"/>
                <w:sz w:val="24"/>
              </w:rPr>
              <w:t>单 位</w:t>
            </w:r>
          </w:p>
          <w:p>
            <w:pPr>
              <w:jc w:val="center"/>
              <w:rPr>
                <w:sz w:val="24"/>
              </w:rPr>
            </w:pPr>
            <w:r>
              <w:rPr>
                <w:rFonts w:hint="eastAsia"/>
                <w:sz w:val="24"/>
              </w:rPr>
              <w:t>名 称</w:t>
            </w:r>
          </w:p>
        </w:tc>
        <w:tc>
          <w:tcPr>
            <w:tcW w:w="6804" w:type="dxa"/>
            <w:gridSpan w:val="3"/>
          </w:tcPr>
          <w:p>
            <w:pPr>
              <w:jc w:val="both"/>
              <w:rPr>
                <w:rFonts w:ascii="宋体" w:hAnsi="宋体"/>
                <w:sz w:val="24"/>
              </w:rPr>
            </w:pPr>
          </w:p>
          <w:p>
            <w:pPr>
              <w:jc w:val="both"/>
              <w:rPr>
                <w:rFonts w:ascii="宋体" w:hAnsi="宋体"/>
                <w:sz w:val="24"/>
              </w:rPr>
            </w:pPr>
            <w:r>
              <w:rPr>
                <w:rFonts w:ascii="宋体" w:hAnsi="宋体" w:cs="宋体" w:hint="eastAsia"/>
                <w:bCs/>
                <w:sz w:val="28"/>
                <w:szCs w:val="28"/>
              </w:rPr>
              <w:t>{{受委托单位}}</w:t>
            </w:r>
          </w:p>
          <w:p>
            <w:pPr>
              <w:jc w:val="both"/>
              <w:rPr>
                <w:rFonts w:ascii="宋体" w:hAnsi="宋体"/>
                <w:sz w:val="24"/>
              </w:rPr>
            </w:pPr>
          </w:p>
          <w:p>
            <w:pPr>
              <w:jc w:val="right"/>
              <w:rPr>
                <w:sz w:val="24"/>
              </w:rPr>
            </w:pPr>
            <w:r>
              <w:rPr>
                <w:rFonts w:ascii="宋体" w:hAnsi="宋体" w:hint="eastAsia"/>
                <w:sz w:val="24"/>
              </w:rPr>
              <w:t>(单位合同专用章或单位公章)</w:t>
            </w:r>
          </w:p>
        </w:tc>
      </w:tr>
      <w:tr>
        <w:tblPrEx>
          <w:tblW w:w="0" w:type="auto"/>
          <w:tblInd w:w="0" w:type="dxa"/>
          <w:tblLayout w:type="fixed"/>
          <w:tblCellMar>
            <w:top w:w="0" w:type="dxa"/>
            <w:left w:w="108" w:type="dxa"/>
            <w:bottom w:w="0" w:type="dxa"/>
            <w:right w:w="108" w:type="dxa"/>
          </w:tblCellMar>
        </w:tblPrEx>
        <w:trPr>
          <w:trHeight w:val="1158"/>
        </w:trPr>
        <w:tc>
          <w:tcPr>
            <w:tcW w:w="675" w:type="dxa"/>
            <w:vMerge/>
          </w:tcPr>
          <w:p>
            <w:pPr>
              <w:jc w:val="center"/>
              <w:rPr>
                <w:sz w:val="24"/>
              </w:rPr>
            </w:pPr>
          </w:p>
        </w:tc>
        <w:tc>
          <w:tcPr>
            <w:tcW w:w="1560" w:type="dxa"/>
            <w:vAlign w:val="center"/>
          </w:tcPr>
          <w:p>
            <w:pPr>
              <w:jc w:val="center"/>
              <w:rPr>
                <w:sz w:val="24"/>
              </w:rPr>
            </w:pPr>
            <w:r>
              <w:rPr>
                <w:rFonts w:hint="eastAsia"/>
                <w:sz w:val="24"/>
              </w:rPr>
              <w:t>受托方的单位负责人</w:t>
            </w:r>
          </w:p>
        </w:tc>
        <w:tc>
          <w:tcPr>
            <w:tcW w:w="6804" w:type="dxa"/>
            <w:gridSpan w:val="3"/>
          </w:tcPr>
          <w:p>
            <w:pPr>
              <w:jc w:val="both"/>
              <w:rPr>
                <w:rFonts w:ascii="宋体" w:hAnsi="宋体"/>
                <w:sz w:val="24"/>
              </w:rPr>
            </w:pPr>
          </w:p>
          <w:p>
            <w:pPr>
              <w:jc w:val="both"/>
              <w:rPr>
                <w:rFonts w:ascii="宋体" w:hAnsi="宋体"/>
                <w:sz w:val="24"/>
              </w:rPr>
            </w:pPr>
          </w:p>
          <w:p>
            <w:pPr>
              <w:jc w:val="both"/>
              <w:rPr>
                <w:rFonts w:ascii="宋体" w:hAnsi="宋体"/>
                <w:sz w:val="24"/>
              </w:rPr>
            </w:pPr>
            <w:r>
              <w:rPr>
                <w:rFonts w:ascii="宋体" w:hAnsi="宋体" w:hint="eastAsia"/>
                <w:sz w:val="24"/>
              </w:rPr>
              <w:t xml:space="preserve">                   单位负责人签字或签章：</w:t>
            </w:r>
          </w:p>
        </w:tc>
      </w:tr>
      <w:tr>
        <w:tblPrEx>
          <w:tblW w:w="0" w:type="auto"/>
          <w:tblInd w:w="0" w:type="dxa"/>
          <w:tblLayout w:type="fixed"/>
          <w:tblCellMar>
            <w:top w:w="0" w:type="dxa"/>
            <w:left w:w="108" w:type="dxa"/>
            <w:bottom w:w="0" w:type="dxa"/>
            <w:right w:w="108" w:type="dxa"/>
          </w:tblCellMar>
        </w:tblPrEx>
        <w:trPr>
          <w:trHeight w:val="734"/>
        </w:trPr>
        <w:tc>
          <w:tcPr>
            <w:tcW w:w="675" w:type="dxa"/>
            <w:vMerge/>
          </w:tcPr>
          <w:p>
            <w:pPr>
              <w:jc w:val="center"/>
              <w:rPr>
                <w:sz w:val="24"/>
              </w:rPr>
            </w:pPr>
          </w:p>
        </w:tc>
        <w:tc>
          <w:tcPr>
            <w:tcW w:w="1560" w:type="dxa"/>
            <w:vAlign w:val="center"/>
          </w:tcPr>
          <w:p>
            <w:pPr>
              <w:jc w:val="center"/>
              <w:rPr>
                <w:sz w:val="24"/>
              </w:rPr>
            </w:pPr>
            <w:r>
              <w:rPr>
                <w:rFonts w:hint="eastAsia"/>
                <w:sz w:val="24"/>
              </w:rPr>
              <w:t>开户名称</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开户名称</w:t>
            </w:r>
            <w:r>
              <w:rPr>
                <w:rFonts w:ascii="宋体" w:hAnsi="宋体" w:cs="宋体" w:hint="eastAsia"/>
                <w:bCs/>
                <w:sz w:val="28"/>
                <w:szCs w:val="28"/>
              </w:rPr>
              <w:t>}}</w:t>
            </w:r>
          </w:p>
        </w:tc>
      </w:tr>
      <w:tr>
        <w:tblPrEx>
          <w:tblW w:w="0" w:type="auto"/>
          <w:tblInd w:w="0" w:type="dxa"/>
          <w:tblLayout w:type="fixed"/>
          <w:tblCellMar>
            <w:top w:w="0" w:type="dxa"/>
            <w:left w:w="108" w:type="dxa"/>
            <w:bottom w:w="0" w:type="dxa"/>
            <w:right w:w="108" w:type="dxa"/>
          </w:tblCellMar>
        </w:tblPrEx>
        <w:trPr>
          <w:trHeight w:val="702"/>
        </w:trPr>
        <w:tc>
          <w:tcPr>
            <w:tcW w:w="675" w:type="dxa"/>
            <w:vMerge/>
          </w:tcPr>
          <w:p>
            <w:pPr>
              <w:jc w:val="center"/>
              <w:rPr>
                <w:sz w:val="24"/>
              </w:rPr>
            </w:pPr>
          </w:p>
        </w:tc>
        <w:tc>
          <w:tcPr>
            <w:tcW w:w="1560" w:type="dxa"/>
            <w:vAlign w:val="center"/>
          </w:tcPr>
          <w:p>
            <w:pPr>
              <w:jc w:val="center"/>
              <w:rPr>
                <w:sz w:val="24"/>
              </w:rPr>
            </w:pPr>
            <w:r>
              <w:rPr>
                <w:rFonts w:hint="eastAsia"/>
                <w:sz w:val="24"/>
              </w:rPr>
              <w:t>开户银行</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开户银行</w:t>
            </w:r>
            <w:r>
              <w:rPr>
                <w:rFonts w:ascii="宋体" w:hAnsi="宋体" w:cs="宋体" w:hint="eastAsia"/>
                <w:bCs/>
                <w:sz w:val="28"/>
                <w:szCs w:val="28"/>
              </w:rPr>
              <w:t>}}</w:t>
            </w:r>
          </w:p>
        </w:tc>
      </w:tr>
      <w:tr>
        <w:tblPrEx>
          <w:tblW w:w="0" w:type="auto"/>
          <w:tblInd w:w="0" w:type="dxa"/>
          <w:tblLayout w:type="fixed"/>
          <w:tblCellMar>
            <w:top w:w="0" w:type="dxa"/>
            <w:left w:w="108" w:type="dxa"/>
            <w:bottom w:w="0" w:type="dxa"/>
            <w:right w:w="108" w:type="dxa"/>
          </w:tblCellMar>
        </w:tblPrEx>
        <w:trPr>
          <w:trHeight w:val="682"/>
        </w:trPr>
        <w:tc>
          <w:tcPr>
            <w:tcW w:w="675" w:type="dxa"/>
            <w:vMerge/>
          </w:tcPr>
          <w:p>
            <w:pPr>
              <w:jc w:val="center"/>
              <w:rPr>
                <w:sz w:val="24"/>
              </w:rPr>
            </w:pPr>
          </w:p>
        </w:tc>
        <w:tc>
          <w:tcPr>
            <w:tcW w:w="1560" w:type="dxa"/>
            <w:vAlign w:val="center"/>
          </w:tcPr>
          <w:p>
            <w:pPr>
              <w:jc w:val="center"/>
              <w:rPr>
                <w:sz w:val="24"/>
              </w:rPr>
            </w:pPr>
            <w:r>
              <w:rPr>
                <w:rFonts w:hint="eastAsia"/>
                <w:sz w:val="24"/>
              </w:rPr>
              <w:t>银行账号</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银行账号</w:t>
            </w:r>
            <w:r>
              <w:rPr>
                <w:rFonts w:ascii="宋体" w:hAnsi="宋体" w:cs="宋体" w:hint="eastAsia"/>
                <w:bCs/>
                <w:sz w:val="28"/>
                <w:szCs w:val="28"/>
              </w:rPr>
              <w:t>}}</w:t>
            </w:r>
          </w:p>
        </w:tc>
      </w:tr>
    </w:tbl>
    <w:p>
      <w:pPr>
        <w:rPr>
          <w:sz w:val="28"/>
          <w:szCs w:val="28"/>
        </w:rPr>
      </w:pPr>
    </w:p>
    <w:p/>
    <w:sectPr>
      <w:headerReference w:type="even" r:id="rId14"/>
      <w:headerReference w:type="default" r:id="rId15"/>
      <w:headerReference w:type="first" r:id="rId16"/>
      <w:pgSz w:w="12240" w:h="20160"/>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楷体_GB2312">
    <w:altName w:val="汉仪楷体简"/>
    <w:panose1 w:val="00000000000000000000"/>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ˎ̥">
    <w:altName w:val="苹方-简"/>
    <w:panose1 w:val="00000000000000000000"/>
    <w:charset w:val="00"/>
    <w:family w:val="roman"/>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b/>
        <w:sz w:val="24"/>
        <w:szCs w:val="24"/>
      </w:rPr>
      <w:fldChar w:fldCharType="begin"/>
    </w:r>
    <w:r>
      <w:rPr>
        <w:b/>
      </w:rPr>
      <w:instrText>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7</w:t>
    </w:r>
    <w:r>
      <w:rPr>
        <w:b/>
        <w:sz w:val="24"/>
        <w:szCs w:val="24"/>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79" o:spid="_x0000_s2052" type="#_x0000_t136" style="width:192pt;height:96.6pt;margin-top:0;margin-left:0;mso-height-relative:page;mso-position-horizontal:center;mso-position-horizontal-relative:margin;mso-position-vertical:center;mso-position-vertical-relative:margin;mso-width-relative:page;position:absolute;z-index:-251648000" coordsize="21600,21600" o:allowincell="f" filled="t" fillcolor="silver" stroked="f">
          <v:fill opacity="0.5"/>
          <v:textpath style="font-family:宋体;font-size:96pt;v-text-align:center" trim="f" fitpath="t" xscale="f" string="CCMU"/>
          <w10:wrap anchorx="margin" anchory="margin"/>
        </v:shape>
      </w:pict>
    </w:r>
  </w:p>
  <w:p>
    <w:r>
      <w:pict>
        <v:shape id="_x0000_s2053" type="#_x0000_t136" style="width:500pt;height:100pt;margin-top:0;margin-left:0;mso-position-horizontal:center;mso-position-horizontal-relative:page;mso-position-vertical:center;mso-position-vertical-relative:page;position:absolute;rotation:-40;z-index:251661312" fillcolor="gray" strokecolor="gray">
          <v:textpath style="font-family:Arial" string="CCMU"/>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gray" strokecolor="gray">
          <v:textpath style="font-family:Arial" string="CCMU"/>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78" o:spid="_x0000_s2049" type="#_x0000_t136" style="width:192pt;height:96.6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宋体;font-size:96pt;v-text-align:center" trim="f" fitpath="t" xscale="f" string="CCMU"/>
          <w10:wrap anchorx="margin" anchory="margin"/>
        </v:shape>
      </w:pict>
    </w:r>
  </w:p>
  <w:p>
    <w:r>
      <w:pict>
        <v:shape id="_x0000_s2050" type="#_x0000_t136" style="width:500pt;height:100pt;margin-top:0;margin-left:0;mso-position-horizontal:center;mso-position-horizontal-relative:page;mso-position-vertical:center;mso-position-vertical-relative:page;position:absolute;rotation:-40;z-index:251659264" fillcolor="gray" strokecolor="gray">
          <v:textpath style="font-family:Arial" string="CCMU"/>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width:500pt;height:100pt;margin-top:0;margin-left:0;mso-position-horizontal:center;mso-position-horizontal-relative:page;mso-position-vertical:center;mso-position-vertical-relative:page;position:absolute;rotation:-40;z-index:251664384" fillcolor="gray" strokecolor="gray">
          <v:textpath style="font-family:Arial" string="CCMU"/>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width:500pt;height:100pt;margin-top:0;margin-left:0;mso-position-horizontal:center;mso-position-horizontal-relative:page;mso-position-vertical:center;mso-position-vertical-relative:page;position:absolute;rotation:-40;z-index:251662336" fillcolor="gray" strokecolor="gray">
          <v:textpath style="font-family:Arial" string="CCMU"/>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width:500pt;height:100pt;margin-top:0;margin-left:0;mso-position-horizontal:center;mso-position-horizontal-relative:page;mso-position-vertical:center;mso-position-vertical-relative:page;position:absolute;rotation:-40;z-index:251663360" fillcolor="gray" strokecolor="gray">
          <v:textpath style="font-family:Arial" string="CCMU"/>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width:500pt;height:100pt;margin-top:0;margin-left:0;mso-position-horizontal:center;mso-position-horizontal-relative:page;mso-position-vertical:center;mso-position-vertical-relative:page;position:absolute;rotation:-40;z-index:251667456" fillcolor="gray" strokecolor="gray">
          <v:textpath style="font-family:Arial" string="CCMU"/>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width:500pt;height:100pt;margin-top:0;margin-left:0;mso-position-horizontal:center;mso-position-horizontal-relative:page;mso-position-vertical:center;mso-position-vertical-relative:page;position:absolute;rotation:-40;z-index:251665408" fillcolor="gray" strokecolor="gray">
          <v:textpath style="font-family:Arial" string="CCMU"/>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width:500pt;height:100pt;margin-top:0;margin-left:0;mso-position-horizontal:center;mso-position-horizontal-relative:page;mso-position-vertical:center;mso-position-vertical-relative:page;position:absolute;rotation:-40;z-index:251666432" fillcolor="gray" strokecolor="gray">
          <v:textpath style="font-family:Arial" string="CCMU"/>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CB5EDC"/>
    <w:multiLevelType w:val="multilevel"/>
    <w:tmpl w:val="05CB5EDC"/>
    <w:lvl w:ilvl="0">
      <w:start w:val="1"/>
      <w:numFmt w:val="japaneseCounting"/>
      <w:lvlText w:val="第%1条"/>
      <w:lvlJc w:val="left"/>
      <w:pPr>
        <w:ind w:left="756" w:hanging="756"/>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72D4515"/>
    <w:multiLevelType w:val="multilevel"/>
    <w:tmpl w:val="172D4515"/>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2">
    <w:nsid w:val="179A2BFF"/>
    <w:multiLevelType w:val="multilevel"/>
    <w:tmpl w:val="179A2BFF"/>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3">
    <w:nsid w:val="56442900"/>
    <w:multiLevelType w:val="multilevel"/>
    <w:tmpl w:val="56442900"/>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4">
    <w:nsid w:val="6EEF07EA"/>
    <w:multiLevelType w:val="multilevel"/>
    <w:tmpl w:val="6EEF07EA"/>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5">
    <w:nsid w:val="78DC4FBD"/>
    <w:multiLevelType w:val="multilevel"/>
    <w:tmpl w:val="78DC4FBD"/>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bordersDoNotSurroundHeader/>
  <w:bordersDoNotSurroundFooter/>
  <w:defaultTabStop w:val="420"/>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FB7"/>
    <w:rsid w:val="FB7FA960"/>
    <w:rsid w:val="0008688D"/>
    <w:rsid w:val="00143FB7"/>
    <w:rsid w:val="00193633"/>
    <w:rsid w:val="00290764"/>
    <w:rsid w:val="002D7D40"/>
    <w:rsid w:val="005314C1"/>
    <w:rsid w:val="008F12C7"/>
    <w:rsid w:val="009E40DB"/>
    <w:rsid w:val="00A04FD3"/>
    <w:rsid w:val="00B30F12"/>
    <w:rsid w:val="00C53681"/>
    <w:rsid w:val="00CF40B3"/>
    <w:rsid w:val="3F2D01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eastAsia="宋体" w:hAnsi="Times New Roman" w:cs="Times New Roman"/>
      <w:kern w:val="0"/>
      <w:sz w:val="20"/>
      <w:szCs w:val="20"/>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pPr>
    <w:rPr>
      <w:sz w:val="18"/>
      <w:szCs w:val="18"/>
    </w:rPr>
  </w:style>
  <w:style w:type="paragraph" w:styleId="Header">
    <w:name w:val="header"/>
    <w:basedOn w:val="Normal"/>
    <w:link w:val="a"/>
    <w:uiPriority w:val="99"/>
    <w:unhideWhenUsed/>
    <w:qFormat/>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styleId="ListParagraph">
    <w:name w:val="List Paragraph"/>
    <w:basedOn w:val="Normal"/>
    <w:uiPriority w:val="34"/>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header" Target="header9.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金航 刘</dc:creator>
  <cp:lastModifiedBy>M1ko</cp:lastModifiedBy>
  <cp:revision>6</cp:revision>
  <dcterms:created xsi:type="dcterms:W3CDTF">2023-06-26T00:02:00Z</dcterms:created>
  <dcterms:modified xsi:type="dcterms:W3CDTF">2023-08-31T14:30:49Z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62719095E97F72ADC79AED649B43490A</vt:lpwstr>
  </property>
  <property fmtid="{D5CDD505-2E9C-101B-9397-08002B2CF9AE}" pid="3" name="KSOProductBuildVer">
    <vt:lpwstr>2052-4.6.1.7451</vt:lpwstr>
  </property>
</Properties>
</file>