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5 -->
  <w:body>
    <w:p>
      <w:pPr>
        <w:spacing w:after="240"/>
      </w:pPr>
    </w:p>
    <w:tbl>
      <w:tblPr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3"/>
        <w:gridCol w:w="8150"/>
        <w:gridCol w:w="192"/>
      </w:tblGrid>
      <w:tr>
        <w:tblPrEx>
          <w:tblCellSpacing w:w="15" w:type="dxa"/>
          <w:tblInd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具体分析内容</w:t>
            </w: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备注</w:t>
            </w:r>
          </w:p>
        </w:tc>
      </w:tr>
      <w:tr>
        <w:tblPrEx>
          <w:tblCellSpacing w:w="15" w:type="dxa"/>
          <w:tblInd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分析内容</w:t>
            </w: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标准分析内容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序列优化及质控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测序数据介绍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数据过滤及质量评估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划分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OTU OTU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生成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OTU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聚类结果统计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OTU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丰度统计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分类学分析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物种分类与相对丰度统计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群落结构分析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物种热图分析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(N≥3)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物种系统进化分析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单样品分类学树状图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分析内容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多样品分类学树状图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单样品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(alpha)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多样性分析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a-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多样性指数统计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高级分析内容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组间差异分析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(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分组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≥2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，每组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≥2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样品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) LEfSe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分析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组间显著性差异分析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样品间相关分析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(N≥3)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三元相图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(N≥3) Anova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方差分析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(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分组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≥2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，每组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≥2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样品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) Wilcox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秩和检验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(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分组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≥2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，每组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≥2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样品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) RDA/CCA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分析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(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属水平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)(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注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: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需要提供环境因子数据，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且环境因子数小于分析样品数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)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基于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16S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的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COG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和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KEGG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数据库功能富集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(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限细菌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)</w:t>
            </w: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售后服务</w:t>
            </w: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甲方可以在分析完成日后的三个月内针对原有数据、结果、分析方法等方面的疑问咨询乙方，乙方在一个月内给甲方提供整理分析类服务，三个月内提供问题解答服务，咨询范围只限于合同中的服务内容。</w:t>
            </w:r>
          </w:p>
        </w:tc>
        <w:tc>
          <w:tcPr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3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注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:1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、待项目启动后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20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天未提供分析方案，将按不分组进行分析出具报告。待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老师出具方案后再进行免费个性化分析。乙方提供给甲方的分析内容以合同为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准，任何口头承诺均无效。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 2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、每批样本分析次数不超过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</w:rPr>
              <w:t>3</w:t>
            </w:r>
            <w:r>
              <w:rPr>
                <w:rFonts w:ascii="Arial Unicode MS" w:eastAsia="Arial Unicode MS" w:hAnsi="Arial Unicode MS" w:cs="Arial Unicode MS"/>
                <w:b w:val="0"/>
                <w:bCs w:val="0"/>
                <w:i w:val="0"/>
                <w:iCs w:val="0"/>
                <w:smallCaps w:val="0"/>
                <w:color w:val="000000"/>
              </w:rPr>
              <w:t>次。</w:t>
            </w:r>
          </w:p>
        </w:tc>
      </w:tr>
    </w:tbl>
    <w:p>
      <w:pPr>
        <w:spacing w:before="240" w:after="240" w:line="360" w:lineRule="auto"/>
        <w:ind w:firstLine="0"/>
      </w:pPr>
      <w:r>
        <w:rPr>
          <w:rFonts w:ascii="宋体" w:eastAsia="宋体" w:hAnsi="宋体" w:cs="宋体"/>
        </w:rPr>
        <w:t>1.      考核指标及验收方式:</w:t>
      </w:r>
    </w:p>
    <w:p>
      <w:pPr>
        <w:spacing w:before="240" w:after="240" w:line="360" w:lineRule="auto"/>
        <w:ind w:firstLine="418"/>
      </w:pPr>
      <w:r>
        <w:rPr>
          <w:rFonts w:ascii="宋体" w:eastAsia="宋体" w:hAnsi="宋体" w:cs="宋体"/>
        </w:rPr>
        <w:t>试验全部完成后，受委托方按合同规定的内容向委托方提供全部试验原始资料，图片和电子数据表(含计算方法及相关软件信息)等。并出具相应的试验报告(电子版与盖章纸质版)，并保证报告的真实性、准确性、科学性，同时对全部资料有保密责任。项目完成后，受委托方应当将项目相关的原始记录、原始数据归档保存。</w:t>
      </w:r>
    </w:p>
    <w:p>
      <w:pPr>
        <w:spacing w:before="240" w:after="240" w:line="360" w:lineRule="auto"/>
        <w:ind w:firstLine="0"/>
      </w:pPr>
      <w:r>
        <w:rPr>
          <w:rFonts w:ascii="宋体" w:eastAsia="宋体" w:hAnsi="宋体" w:cs="宋体"/>
        </w:rPr>
        <w:t>2.      技术服务地点:北京百迈客生物科技有限公司</w:t>
      </w:r>
    </w:p>
    <w:p>
      <w:pPr>
        <w:spacing w:before="240" w:after="240" w:line="360" w:lineRule="auto"/>
        <w:ind w:firstLine="0"/>
      </w:pPr>
      <w:r>
        <w:rPr>
          <w:rFonts w:ascii="宋体" w:eastAsia="宋体" w:hAnsi="宋体" w:cs="宋体"/>
        </w:rPr>
        <w:t>3.      标分析技术务期:30自然(n≤24)(不包含定制化分析周期)。自乙方收到首付款且样本质检合格次日起到乙方向甲方提供《结题报告》或《标准分析报告》之日止。若在项目生产过程中遇到技术障碍，乙方应与甲方及时沟通， 双方沟通时间。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